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582C">
      <w:pPr>
        <w:pStyle w:val="1"/>
      </w:pPr>
      <w:hyperlink r:id="rId6" w:history="1">
        <w:r>
          <w:rPr>
            <w:rStyle w:val="a4"/>
            <w:b w:val="0"/>
            <w:bCs w:val="0"/>
          </w:rPr>
          <w:t>Письмо Министерства здравоохранения РФ от 4 декабря 2018 г. N 15-4/10/2-7838</w:t>
        </w:r>
      </w:hyperlink>
    </w:p>
    <w:p w:rsidR="00000000" w:rsidRDefault="00EA582C"/>
    <w:p w:rsidR="00000000" w:rsidRDefault="00EA582C">
      <w:r>
        <w:t xml:space="preserve">Министерство здравоохранения Российской Федерации направляет </w:t>
      </w:r>
      <w:hyperlink w:anchor="sub_1000" w:history="1">
        <w:r>
          <w:rPr>
            <w:rStyle w:val="a4"/>
          </w:rPr>
          <w:t>клинические рекомендации</w:t>
        </w:r>
      </w:hyperlink>
      <w:r>
        <w:t xml:space="preserve"> (протокол лечения) "Диагностика и лечение доброкачественных новообразований яичников с позиции профилактики рака", разработанные в соответствии со </w:t>
      </w:r>
      <w:hyperlink r:id="rId7" w:history="1">
        <w:r>
          <w:rPr>
            <w:rStyle w:val="a4"/>
          </w:rPr>
          <w:t>статьей 76</w:t>
        </w:r>
      </w:hyperlink>
      <w:r>
        <w:t xml:space="preserve"> Федерального закона от 21 ноября 2011 г. N 323-ФЗ "Об основа</w:t>
      </w:r>
      <w:r>
        <w:t>х охраны здоровья граждан в Российской Федерации", для использования в работе руководителями органов исполнительной власти субъектов Российской Федераци</w:t>
      </w:r>
      <w:bookmarkStart w:id="0" w:name="_GoBack"/>
      <w:bookmarkEnd w:id="0"/>
      <w:r>
        <w:t>и в сфере здравоохранения при подготовке нормативных правовых актов, руководителями медицинских организа</w:t>
      </w:r>
      <w:r>
        <w:t>ций акушерско-гинекологического профиля, а также для использования в учебном процессе.</w:t>
      </w:r>
    </w:p>
    <w:p w:rsidR="00000000" w:rsidRDefault="00EA582C">
      <w:r>
        <w:t>Приложение: на 51 л. в 1 экз.</w:t>
      </w:r>
    </w:p>
    <w:p w:rsidR="00000000" w:rsidRDefault="00EA58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right"/>
            </w:pPr>
            <w:r>
              <w:t>С.А. Краевой</w:t>
            </w:r>
          </w:p>
        </w:tc>
      </w:tr>
    </w:tbl>
    <w:p w:rsidR="00000000" w:rsidRDefault="00EA582C"/>
    <w:p w:rsidR="00000000" w:rsidRDefault="00EA582C">
      <w:pPr>
        <w:ind w:firstLine="698"/>
        <w:jc w:val="right"/>
      </w:pPr>
      <w:bookmarkStart w:id="1" w:name="sub_1000"/>
      <w:r>
        <w:rPr>
          <w:rStyle w:val="a3"/>
        </w:rPr>
        <w:t>УТВЕРЖДАЮ:</w:t>
      </w:r>
      <w:r>
        <w:rPr>
          <w:rStyle w:val="a3"/>
        </w:rPr>
        <w:br/>
        <w:t>Президент Российского общества</w:t>
      </w:r>
      <w:r>
        <w:rPr>
          <w:rStyle w:val="a3"/>
        </w:rPr>
        <w:br/>
        <w:t>акушеров-гинекологов</w:t>
      </w:r>
      <w:r>
        <w:rPr>
          <w:rStyle w:val="a3"/>
        </w:rPr>
        <w:br/>
        <w:t>академик РАН, профессор</w:t>
      </w:r>
      <w:r>
        <w:rPr>
          <w:rStyle w:val="a3"/>
        </w:rPr>
        <w:br/>
        <w:t>В.Н. Серов</w:t>
      </w:r>
      <w:r>
        <w:rPr>
          <w:rStyle w:val="a3"/>
        </w:rPr>
        <w:br/>
        <w:t>N 15-4/10/2-7838</w:t>
      </w:r>
      <w:r>
        <w:rPr>
          <w:rStyle w:val="a3"/>
        </w:rPr>
        <w:t xml:space="preserve"> от 04.12.2018 г.</w:t>
      </w:r>
    </w:p>
    <w:bookmarkEnd w:id="1"/>
    <w:p w:rsidR="00000000" w:rsidRDefault="00EA582C"/>
    <w:p w:rsidR="00000000" w:rsidRDefault="00EA582C">
      <w:pPr>
        <w:pStyle w:val="1"/>
      </w:pPr>
      <w:r>
        <w:t>Диагностика и лечение доброкачественных новообразований яичников с позиции профилактики рака</w:t>
      </w:r>
      <w:r>
        <w:br/>
        <w:t>Клинические рекомендации</w:t>
      </w:r>
      <w:r>
        <w:br/>
        <w:t>(протокол лечения)</w:t>
      </w:r>
    </w:p>
    <w:p w:rsidR="00000000" w:rsidRDefault="00EA582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582C">
      <w:pPr>
        <w:pStyle w:val="a6"/>
      </w:pPr>
      <w:r>
        <w:t xml:space="preserve">О клинических рекомендациях (протоколах лечения) см. </w:t>
      </w:r>
      <w:hyperlink r:id="rId8" w:history="1">
        <w:r>
          <w:rPr>
            <w:rStyle w:val="a4"/>
          </w:rPr>
          <w:t>справку</w:t>
        </w:r>
      </w:hyperlink>
    </w:p>
    <w:p w:rsidR="00000000" w:rsidRDefault="00EA582C">
      <w:pPr>
        <w:pStyle w:val="a6"/>
      </w:pPr>
      <w:r>
        <w:t xml:space="preserve">Согласно </w:t>
      </w:r>
      <w:hyperlink r:id="rId9" w:history="1">
        <w:r>
          <w:rPr>
            <w:rStyle w:val="a4"/>
          </w:rPr>
          <w:t>Федеральному закону</w:t>
        </w:r>
      </w:hyperlink>
      <w:r>
        <w:t xml:space="preserve"> от 25 декабря 2018 г. N 489-ФЗ клинические рекомендации (протоколы лечения) по вопросам оказания медицинской помощи, утвержденные медицинскими профессиональными некоммерческими </w:t>
      </w:r>
      <w:r>
        <w:t xml:space="preserve">организациями до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указанного Федерального закона, применяются до их пересмотра и утверждения в соответствии с </w:t>
      </w:r>
      <w:hyperlink r:id="rId11" w:history="1">
        <w:r>
          <w:rPr>
            <w:rStyle w:val="a4"/>
          </w:rPr>
          <w:t>частями 3</w:t>
        </w:r>
      </w:hyperlink>
      <w:r>
        <w:t xml:space="preserve">, </w:t>
      </w:r>
      <w:hyperlink r:id="rId12" w:history="1">
        <w:r>
          <w:rPr>
            <w:rStyle w:val="a4"/>
          </w:rPr>
          <w:t>4</w:t>
        </w:r>
      </w:hyperlink>
      <w:r>
        <w:t>,</w:t>
      </w:r>
      <w:r>
        <w:t xml:space="preserve"> </w:t>
      </w:r>
      <w:hyperlink r:id="rId13" w:history="1">
        <w:r>
          <w:rPr>
            <w:rStyle w:val="a4"/>
          </w:rPr>
          <w:t>6 - 9</w:t>
        </w:r>
      </w:hyperlink>
      <w:r>
        <w:t xml:space="preserve"> и </w:t>
      </w:r>
      <w:hyperlink r:id="rId14" w:history="1">
        <w:r>
          <w:rPr>
            <w:rStyle w:val="a4"/>
          </w:rPr>
          <w:t>11 статьи 37</w:t>
        </w:r>
      </w:hyperlink>
      <w:r>
        <w:t xml:space="preserve"> Федерального закона от 21 ноября 2011 года N 323-ФЗ "Об основах охраны здоровья граждан в Российской Федерации" (в редакции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25 декабря 2018 г. N 489-ФЗ), но не позднее 31 декабря 2021 г.</w:t>
      </w:r>
    </w:p>
    <w:p w:rsidR="00000000" w:rsidRDefault="00EA582C">
      <w:pPr>
        <w:pStyle w:val="1"/>
      </w:pPr>
      <w:bookmarkStart w:id="2" w:name="sub_1100"/>
      <w:r>
        <w:t>Список сокращений</w:t>
      </w:r>
    </w:p>
    <w:bookmarkEnd w:id="2"/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0"/>
        <w:gridCol w:w="8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АФП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BC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12192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ВОЗ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Всемирная организация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ВТЭО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венозные тромботические осложнения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ДОЯ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доброкачественная опухоль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компьютерная томография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ЛДГ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лактатдегидрогеназа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МРТ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магнитно-резонансная томография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ПЭТ-КТ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позитронно-эмиссионная томография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РЭА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раковый эмбриональный антиген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BC">
            <w:pPr>
              <w:pStyle w:val="a8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435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бета-хорионический гонадотропин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ЦДК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цветовое допплеровское картирование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BRCA1/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breast cancer 1/breast cancer 2 - ген рака молочных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BRCA2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1/ген рака молочных желез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СА 19-9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cancer antigen 19-9 - Углеводный антиген 19-9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СА 72-4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cancer antigen 72-4 - Углеводный антиген 72-4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СА125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cancer antigen 125 - Углеводный антиген 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IOТА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International Ovarian Tumor Analysis - международная группа по анализу опухолей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НЕ4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Human epididymis protein 4 - белок эпидидимиса человека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RCOG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Royal College of Obstetricians and Gynaecologists - Королевская коллегия акушерства и гинекологии (Великобритания)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RMI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Risk of Malignancy Index - индекс риска злокачественности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ROM</w:t>
            </w:r>
            <w: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-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Risk of Ovarian Malignancy Algorithm - алгоритм расчета риска аденокарциномы яичников</w:t>
            </w:r>
          </w:p>
        </w:tc>
      </w:tr>
    </w:tbl>
    <w:p w:rsidR="00000000" w:rsidRDefault="00EA582C"/>
    <w:p w:rsidR="00000000" w:rsidRDefault="00EA582C">
      <w:pPr>
        <w:pStyle w:val="1"/>
      </w:pPr>
      <w:bookmarkStart w:id="3" w:name="sub_1200"/>
      <w:r>
        <w:t>Термины и определения</w:t>
      </w:r>
    </w:p>
    <w:bookmarkEnd w:id="3"/>
    <w:p w:rsidR="00000000" w:rsidRDefault="00EA582C"/>
    <w:p w:rsidR="00000000" w:rsidRDefault="00EA582C">
      <w:r>
        <w:t xml:space="preserve">Для обозначения патологических изменений ткани яичника используют термин </w:t>
      </w:r>
      <w:r>
        <w:rPr>
          <w:rStyle w:val="a3"/>
        </w:rPr>
        <w:t>"образование яичников"</w:t>
      </w:r>
      <w:r>
        <w:t xml:space="preserve"> [</w:t>
      </w:r>
      <w:hyperlink w:anchor="sub_40009" w:history="1">
        <w:r>
          <w:rPr>
            <w:rStyle w:val="a4"/>
          </w:rPr>
          <w:t>9</w:t>
        </w:r>
      </w:hyperlink>
      <w:r>
        <w:t xml:space="preserve">, </w:t>
      </w:r>
      <w:hyperlink w:anchor="sub_40016" w:history="1">
        <w:r>
          <w:rPr>
            <w:rStyle w:val="a4"/>
          </w:rPr>
          <w:t>16</w:t>
        </w:r>
      </w:hyperlink>
      <w:r>
        <w:t xml:space="preserve">, </w:t>
      </w:r>
      <w:hyperlink w:anchor="sub_40023" w:history="1">
        <w:r>
          <w:rPr>
            <w:rStyle w:val="a4"/>
          </w:rPr>
          <w:t>23</w:t>
        </w:r>
      </w:hyperlink>
      <w:r>
        <w:t>], который включает как кистозные, так и солидные образования.</w:t>
      </w:r>
    </w:p>
    <w:p w:rsidR="00000000" w:rsidRDefault="00EA582C"/>
    <w:p w:rsidR="00000000" w:rsidRDefault="00EA582C">
      <w:pPr>
        <w:pStyle w:val="1"/>
      </w:pPr>
      <w:bookmarkStart w:id="4" w:name="sub_1300"/>
      <w:r>
        <w:t>Кодирование по МКБ-10</w:t>
      </w:r>
    </w:p>
    <w:bookmarkEnd w:id="4"/>
    <w:p w:rsidR="00000000" w:rsidRDefault="00EA582C"/>
    <w:p w:rsidR="00000000" w:rsidRDefault="00EA582C">
      <w:r>
        <w:t>D27 - доброкачественное новообразование яичников</w:t>
      </w:r>
    </w:p>
    <w:p w:rsidR="00000000" w:rsidRDefault="00EA582C"/>
    <w:p w:rsidR="00000000" w:rsidRDefault="00EA582C">
      <w:pPr>
        <w:pStyle w:val="1"/>
      </w:pPr>
      <w:bookmarkStart w:id="5" w:name="sub_1400"/>
      <w:r>
        <w:t>Краткая информация</w:t>
      </w:r>
    </w:p>
    <w:bookmarkEnd w:id="5"/>
    <w:p w:rsidR="00000000" w:rsidRDefault="00EA582C"/>
    <w:p w:rsidR="00000000" w:rsidRDefault="00EA582C">
      <w:pPr>
        <w:pStyle w:val="1"/>
      </w:pPr>
      <w:bookmarkStart w:id="6" w:name="sub_1410"/>
      <w:r>
        <w:t>Актуальность проблемы доброкачественных опухолей яичников</w:t>
      </w:r>
    </w:p>
    <w:bookmarkEnd w:id="6"/>
    <w:p w:rsidR="00000000" w:rsidRDefault="00EA582C"/>
    <w:p w:rsidR="00000000" w:rsidRDefault="00EA582C">
      <w:r>
        <w:t xml:space="preserve">Опухоли яичников - серьезная проблема среди женщин всех возрастных групп, занимающая 7-ое место (или 4%) в структуре всех злокачественных опухолей у женщин </w:t>
      </w:r>
      <w:hyperlink w:anchor="sub_40001" w:history="1">
        <w:r>
          <w:rPr>
            <w:rStyle w:val="a4"/>
          </w:rPr>
          <w:t>[1]</w:t>
        </w:r>
      </w:hyperlink>
      <w:r>
        <w:t>. 5-10% женского населения подвергаются хирургическому лечению по поводу опухолей яичников, причем у 13-21% оперированных обнаруживаются злокачественные опухоли. У беременных частота выявления опухолей придатков матки может достигать 3,2%, а частота злокач</w:t>
      </w:r>
      <w:r>
        <w:t xml:space="preserve">ественных форм достигает 6,8% от всех опухолей у беременных </w:t>
      </w:r>
      <w:hyperlink w:anchor="sub_40009" w:history="1">
        <w:r>
          <w:rPr>
            <w:rStyle w:val="a4"/>
          </w:rPr>
          <w:t>[9]</w:t>
        </w:r>
      </w:hyperlink>
      <w:r>
        <w:t>.</w:t>
      </w:r>
    </w:p>
    <w:p w:rsidR="00000000" w:rsidRDefault="00EA582C">
      <w:r>
        <w:t>Диагностика и дифференциальная диагностика доброкачественных новообразований (опухолей) яичников (ДОЯ) представляет собой важную клиническую задачу с позиций профил</w:t>
      </w:r>
      <w:r>
        <w:t>актики возможных осложнений, требующих оказания экстренной стационарной квалифицированной медицинской помощи: перекрут придатков матки, апоплексия яичников, нагноение; а также оценки риска злокачественного процесса, диктующего необходимость правильной марш</w:t>
      </w:r>
      <w:r>
        <w:t>рутизации пациентки.</w:t>
      </w:r>
    </w:p>
    <w:p w:rsidR="00000000" w:rsidRDefault="00EA582C">
      <w:r>
        <w:t xml:space="preserve">Отсутствие специфических клинических и диагностических маркеров для пограничных опухолей, латентное течение и низкая выявляемость рака яичников на ранних стадиях, отсутствие специфических и высокочувствительных методов </w:t>
      </w:r>
      <w:r>
        <w:lastRenderedPageBreak/>
        <w:t>диагностики и ле</w:t>
      </w:r>
      <w:r>
        <w:t>чения приводят к неутешительным результатам выживаемости пациенток этой категории.</w:t>
      </w:r>
    </w:p>
    <w:p w:rsidR="00000000" w:rsidRDefault="00EA582C">
      <w:r>
        <w:t>Данный протокол ставит цель унифицировать подходы к диагностике и лечению доброкачественных опухолей яичников.</w:t>
      </w:r>
    </w:p>
    <w:p w:rsidR="00000000" w:rsidRDefault="00EA582C"/>
    <w:p w:rsidR="00000000" w:rsidRDefault="00EA582C">
      <w:pPr>
        <w:pStyle w:val="1"/>
      </w:pPr>
      <w:bookmarkStart w:id="7" w:name="sub_1420"/>
      <w:r>
        <w:t>Возрастные особенности эпидемиологии доброкачественны</w:t>
      </w:r>
      <w:r>
        <w:t>х опухолей яичников</w:t>
      </w:r>
    </w:p>
    <w:bookmarkEnd w:id="7"/>
    <w:p w:rsidR="00000000" w:rsidRDefault="00EA582C"/>
    <w:p w:rsidR="00000000" w:rsidRDefault="00EA582C">
      <w:r>
        <w:t>В детском возрасте в 65% наблюдений образования придатков представлены функциональными кистами. Доброкачественные опухоли составляют 28%, из них доминируют зрелые тератомы из группы герминогенных опухолей. Злокачественные опухо</w:t>
      </w:r>
      <w:r>
        <w:t xml:space="preserve">ли не превышают 8%, и представлены в основном дисгерминомами, опухолями эндодермального синуса, эмбриональными карциномами и незрелыми тератомами </w:t>
      </w:r>
      <w:hyperlink w:anchor="sub_40035" w:history="1">
        <w:r>
          <w:rPr>
            <w:rStyle w:val="a4"/>
          </w:rPr>
          <w:t>[35]</w:t>
        </w:r>
      </w:hyperlink>
      <w:r>
        <w:t>.</w:t>
      </w:r>
    </w:p>
    <w:p w:rsidR="00000000" w:rsidRDefault="00EA582C">
      <w:r>
        <w:t>В репродуктивном возрасте большинство новообразований придатков матки предста</w:t>
      </w:r>
      <w:r>
        <w:t xml:space="preserve">влено доброкачественными опухолями, среди которых преобладают серозная цистаденома и зрелая тератома, и функциональными кистами </w:t>
      </w:r>
      <w:hyperlink w:anchor="sub_40037" w:history="1">
        <w:r>
          <w:rPr>
            <w:rStyle w:val="a4"/>
          </w:rPr>
          <w:t>[37]</w:t>
        </w:r>
      </w:hyperlink>
      <w:r>
        <w:t>.</w:t>
      </w:r>
    </w:p>
    <w:p w:rsidR="00000000" w:rsidRDefault="00EA582C">
      <w:r>
        <w:t xml:space="preserve">В возрасте старше 50 лет одинаково часто встречаются как опухолеподобные образования яичников, </w:t>
      </w:r>
      <w:r>
        <w:t xml:space="preserve">так и истинные </w:t>
      </w:r>
      <w:hyperlink w:anchor="sub_40018" w:history="1">
        <w:r>
          <w:rPr>
            <w:rStyle w:val="a4"/>
          </w:rPr>
          <w:t>[18]</w:t>
        </w:r>
      </w:hyperlink>
      <w:r>
        <w:t>. Гистологически данные поражения чаще всего относятся к доброкачественным серозным или муцинозным опухолям, доброкачественным опухолям из группы теком-фибром, зрелым тератомам и эндометриоидным кистам.</w:t>
      </w:r>
    </w:p>
    <w:p w:rsidR="00000000" w:rsidRDefault="00EA582C">
      <w:r>
        <w:t xml:space="preserve">Распространенность злокачественных опухолей в перименопаузе не превышает 13%, увеличиваясь к периоду постменопаузы до 45% </w:t>
      </w:r>
      <w:hyperlink w:anchor="sub_40038" w:history="1">
        <w:r>
          <w:rPr>
            <w:rStyle w:val="a4"/>
          </w:rPr>
          <w:t>[38]</w:t>
        </w:r>
      </w:hyperlink>
      <w:r>
        <w:t>. При этом ранний рак яичников обычно является операционной находкой.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Постменопаузальный период ис</w:t>
            </w:r>
            <w:r>
              <w:t>ключает возможность функциональных кист и эктопической беременности.</w:t>
            </w:r>
          </w:p>
          <w:p w:rsidR="00000000" w:rsidRDefault="00EA582C">
            <w:pPr>
              <w:pStyle w:val="a8"/>
            </w:pPr>
            <w:r>
              <w:t xml:space="preserve">Объемное образование придатков матки в постменопаузе требует исключения первичного и метастатического рака яичников </w:t>
            </w:r>
            <w:hyperlink w:anchor="sub_40006" w:history="1">
              <w:r>
                <w:rPr>
                  <w:rStyle w:val="a4"/>
                </w:rPr>
                <w:t>[6]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>Частота опухолей яичников у беременных составляет 0,5-3,4%. При УЗ скрининге в 1 триместре беременности наиболее часто обнаруживаются кисты желтого тела, которые спонтанно регрессируют в течение 2-4 месяцев [</w:t>
      </w:r>
      <w:hyperlink w:anchor="sub_40014" w:history="1">
        <w:r>
          <w:rPr>
            <w:rStyle w:val="a4"/>
          </w:rPr>
          <w:t>14</w:t>
        </w:r>
      </w:hyperlink>
      <w:r>
        <w:t xml:space="preserve">, </w:t>
      </w:r>
      <w:hyperlink w:anchor="sub_40043" w:history="1">
        <w:r>
          <w:rPr>
            <w:rStyle w:val="a4"/>
          </w:rPr>
          <w:t>43</w:t>
        </w:r>
      </w:hyperlink>
      <w:r>
        <w:t>].</w:t>
      </w:r>
    </w:p>
    <w:p w:rsidR="00000000" w:rsidRDefault="00EA582C"/>
    <w:p w:rsidR="00000000" w:rsidRDefault="00EA582C">
      <w:pPr>
        <w:pStyle w:val="1"/>
      </w:pPr>
      <w:bookmarkStart w:id="8" w:name="sub_1500"/>
      <w:r>
        <w:t>Основные факторы риска и группы риска по раку яичников</w:t>
      </w:r>
    </w:p>
    <w:bookmarkEnd w:id="8"/>
    <w:p w:rsidR="00000000" w:rsidRDefault="00EA582C"/>
    <w:p w:rsidR="00000000" w:rsidRDefault="00EA582C">
      <w:pPr>
        <w:pStyle w:val="1"/>
      </w:pPr>
      <w:bookmarkStart w:id="9" w:name="sub_1510"/>
      <w:r>
        <w:t>Факторы риска рака яичников</w:t>
      </w:r>
    </w:p>
    <w:bookmarkEnd w:id="9"/>
    <w:p w:rsidR="00000000" w:rsidRDefault="00EA582C"/>
    <w:p w:rsidR="00000000" w:rsidRDefault="00EA582C">
      <w:r>
        <w:t>С целью снижения заболеваемости и увеличения выживаемости больных злокачественными новообразованиями яичников следует уделя</w:t>
      </w:r>
      <w:r>
        <w:t>ть большое внимание тщательной оценке факторов риска у пациенток с объемными образованиями придатков матки, основным из которых является возраст - интегральный фактор риска онкопатологии любой локализации (категория рекомендаций А) [</w:t>
      </w:r>
      <w:hyperlink w:anchor="sub_40001" w:history="1">
        <w:r>
          <w:rPr>
            <w:rStyle w:val="a4"/>
          </w:rPr>
          <w:t>1</w:t>
        </w:r>
      </w:hyperlink>
      <w:r>
        <w:t xml:space="preserve">, </w:t>
      </w:r>
      <w:hyperlink w:anchor="sub_40006" w:history="1">
        <w:r>
          <w:rPr>
            <w:rStyle w:val="a4"/>
          </w:rPr>
          <w:t>6</w:t>
        </w:r>
      </w:hyperlink>
      <w:r>
        <w:t xml:space="preserve">, </w:t>
      </w:r>
      <w:hyperlink w:anchor="sub_40042" w:history="1">
        <w:r>
          <w:rPr>
            <w:rStyle w:val="a4"/>
          </w:rPr>
          <w:t>42</w:t>
        </w:r>
      </w:hyperlink>
      <w:r>
        <w:t>].</w:t>
      </w:r>
    </w:p>
    <w:p w:rsidR="00000000" w:rsidRDefault="00EA582C">
      <w:r>
        <w:t xml:space="preserve">Ввиду нарастания уровня гонадотропинов с возрастом важное значение имеет менопаузальный статус женщины (пременопауза или постменопауза). </w:t>
      </w:r>
      <w:hyperlink w:anchor="sub_40049" w:history="1">
        <w:r>
          <w:rPr>
            <w:rStyle w:val="a4"/>
          </w:rPr>
          <w:t>[49]</w:t>
        </w:r>
      </w:hyperlink>
      <w:r>
        <w:t>. Менопаузальный ст</w:t>
      </w:r>
      <w:r>
        <w:t>атус используется в расчете как RMI, так и индекса ROMA.</w:t>
      </w:r>
    </w:p>
    <w:p w:rsidR="00000000" w:rsidRDefault="00EA582C">
      <w:r>
        <w:t xml:space="preserve">Особой онкологической настороженности требуют пациентки с указанием на злокачественное новообразование любой локализации в анамнезе (категория рекомендаций А) </w:t>
      </w:r>
      <w:hyperlink w:anchor="sub_40006" w:history="1">
        <w:r>
          <w:rPr>
            <w:rStyle w:val="a4"/>
          </w:rPr>
          <w:t>[6]</w:t>
        </w:r>
      </w:hyperlink>
      <w:r>
        <w:t>, установл</w:t>
      </w:r>
      <w:r>
        <w:t xml:space="preserve">енными предрасполагающими мутациями BRCA1, BRCA2, </w:t>
      </w:r>
      <w:r>
        <w:lastRenderedPageBreak/>
        <w:t>Р53, STK11 (синдром Пейтц-Егерса), генов репарации ДНК (синдром Линча - наследственный неполипозный колоректальный рак), RAD51C, DICER и др., а также отягощенным генетическим анамнезом по раку молочных желе</w:t>
      </w:r>
      <w:r>
        <w:t>з, яичников, эндометрия, толстой кишки, желудка, почек, легких [</w:t>
      </w:r>
      <w:hyperlink w:anchor="sub_40001" w:history="1">
        <w:r>
          <w:rPr>
            <w:rStyle w:val="a4"/>
          </w:rPr>
          <w:t>1</w:t>
        </w:r>
      </w:hyperlink>
      <w:r>
        <w:t xml:space="preserve">, </w:t>
      </w:r>
      <w:hyperlink w:anchor="sub_40003" w:history="1">
        <w:r>
          <w:rPr>
            <w:rStyle w:val="a4"/>
          </w:rPr>
          <w:t>3</w:t>
        </w:r>
      </w:hyperlink>
      <w:r>
        <w:t xml:space="preserve">, </w:t>
      </w:r>
      <w:hyperlink w:anchor="sub_40005" w:history="1">
        <w:r>
          <w:rPr>
            <w:rStyle w:val="a4"/>
          </w:rPr>
          <w:t>5</w:t>
        </w:r>
      </w:hyperlink>
      <w:r>
        <w:t xml:space="preserve">, </w:t>
      </w:r>
      <w:hyperlink w:anchor="sub_40006" w:history="1">
        <w:r>
          <w:rPr>
            <w:rStyle w:val="a4"/>
          </w:rPr>
          <w:t>6</w:t>
        </w:r>
      </w:hyperlink>
      <w:r>
        <w:t xml:space="preserve">, </w:t>
      </w:r>
      <w:hyperlink w:anchor="sub_40021" w:history="1">
        <w:r>
          <w:rPr>
            <w:rStyle w:val="a4"/>
          </w:rPr>
          <w:t>21</w:t>
        </w:r>
      </w:hyperlink>
      <w:r>
        <w:t xml:space="preserve">, </w:t>
      </w:r>
      <w:hyperlink w:anchor="sub_40042" w:history="1">
        <w:r>
          <w:rPr>
            <w:rStyle w:val="a4"/>
          </w:rPr>
          <w:t>42</w:t>
        </w:r>
      </w:hyperlink>
      <w:r>
        <w:t>].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Пока</w:t>
            </w:r>
            <w:r>
              <w:t>зания к медико-генетическому консультированию и генетическому исследованию на носительство предрасполагающих мутаций определяются на основании тщательного анализа генетического анамнеза среди родственников первой линии родства, как по женской, так и мужско</w:t>
            </w:r>
            <w:r>
              <w:t xml:space="preserve">й линии </w:t>
            </w:r>
            <w:hyperlink w:anchor="sub_40001" w:history="1">
              <w:r>
                <w:rPr>
                  <w:rStyle w:val="a4"/>
                </w:rPr>
                <w:t>[1]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 xml:space="preserve">Анамнестическое указание на одну родственницу первой линии родства, страдающую раком яичников, увеличивает риск с общепопуляционного 1,4% до 5%; двух родственниц - до 7% (категория рекомендаций В) </w:t>
      </w:r>
      <w:hyperlink w:anchor="sub_40001" w:history="1">
        <w:r>
          <w:rPr>
            <w:rStyle w:val="a4"/>
          </w:rPr>
          <w:t>[1]</w:t>
        </w:r>
      </w:hyperlink>
      <w:r>
        <w:t>.</w:t>
      </w:r>
    </w:p>
    <w:p w:rsidR="00000000" w:rsidRDefault="00EA582C">
      <w:r>
        <w:t xml:space="preserve">Дополнительными факторами, повышающими риск злокачественных новообразований яичников, которые необходимо оценивать и учитывать при выборе лечебно-диагностической тактики в случае выявления объемного образования придатков матки и склоняющими </w:t>
      </w:r>
      <w:r>
        <w:t>в пользу инвазивной диагностики [</w:t>
      </w:r>
      <w:hyperlink w:anchor="sub_40001" w:history="1">
        <w:r>
          <w:rPr>
            <w:rStyle w:val="a4"/>
          </w:rPr>
          <w:t>1</w:t>
        </w:r>
      </w:hyperlink>
      <w:r>
        <w:t xml:space="preserve">, </w:t>
      </w:r>
      <w:hyperlink w:anchor="sub_40042" w:history="1">
        <w:r>
          <w:rPr>
            <w:rStyle w:val="a4"/>
          </w:rPr>
          <w:t>42</w:t>
        </w:r>
      </w:hyperlink>
      <w:r>
        <w:t>], служат:</w:t>
      </w:r>
    </w:p>
    <w:p w:rsidR="00000000" w:rsidRDefault="00EA582C">
      <w:r>
        <w:t>- отсутствие беременностей в анамнезе,</w:t>
      </w:r>
    </w:p>
    <w:p w:rsidR="00000000" w:rsidRDefault="00EA582C">
      <w:r>
        <w:t>- предшествующие стимуляция овуляции,</w:t>
      </w:r>
    </w:p>
    <w:p w:rsidR="00000000" w:rsidRDefault="00EA582C">
      <w:r>
        <w:t>- эндометриодное поражение яичников в анамнезе,</w:t>
      </w:r>
    </w:p>
    <w:p w:rsidR="00000000" w:rsidRDefault="00EA582C">
      <w:r>
        <w:t>- односторонняя овариоэктоми</w:t>
      </w:r>
      <w:r>
        <w:t>я в анамнезе,</w:t>
      </w:r>
    </w:p>
    <w:p w:rsidR="00000000" w:rsidRDefault="00EA582C">
      <w:r>
        <w:t>- раннее менархе и поздняя менопауза (для опухолей I типа по R.J. Kurman),</w:t>
      </w:r>
    </w:p>
    <w:p w:rsidR="00000000" w:rsidRDefault="00EA582C">
      <w:r>
        <w:t>- позднее менархе и ранняя менопауза (опухолей II типа по R.J. Kurman),</w:t>
      </w:r>
    </w:p>
    <w:p w:rsidR="00000000" w:rsidRDefault="00EA582C">
      <w:r>
        <w:t>- диета с высоким содержанием жиров и легко усвояемых углеводов,</w:t>
      </w:r>
    </w:p>
    <w:p w:rsidR="00000000" w:rsidRDefault="00EA582C">
      <w:r>
        <w:t>- ожирение,</w:t>
      </w:r>
    </w:p>
    <w:p w:rsidR="00000000" w:rsidRDefault="00EA582C">
      <w:r>
        <w:t>- сахарный диабет 2 типа,</w:t>
      </w:r>
    </w:p>
    <w:p w:rsidR="00000000" w:rsidRDefault="00EA582C">
      <w:r>
        <w:t>- хронический сальпингоофорит (для серозных опухолей),</w:t>
      </w:r>
    </w:p>
    <w:p w:rsidR="00000000" w:rsidRDefault="00EA582C">
      <w:r>
        <w:t>- асбест.</w:t>
      </w:r>
    </w:p>
    <w:p w:rsidR="00000000" w:rsidRDefault="00EA582C">
      <w:r>
        <w:t>В качестве факторов, снижающих риск рака яичников, рассматриваются:</w:t>
      </w:r>
    </w:p>
    <w:p w:rsidR="00000000" w:rsidRDefault="00EA582C">
      <w:r>
        <w:t>- многодетность,</w:t>
      </w:r>
    </w:p>
    <w:p w:rsidR="00000000" w:rsidRDefault="00EA582C">
      <w:r>
        <w:t>- перенесенная гистерэктомия,</w:t>
      </w:r>
    </w:p>
    <w:p w:rsidR="00000000" w:rsidRDefault="00EA582C">
      <w:r>
        <w:t>- хирургическая стерилизация или двусторонняя тубэ</w:t>
      </w:r>
      <w:r>
        <w:t>ктомия,</w:t>
      </w:r>
    </w:p>
    <w:p w:rsidR="00000000" w:rsidRDefault="00EA582C">
      <w:r>
        <w:t>- двусторонняя аднексэктомия,</w:t>
      </w:r>
    </w:p>
    <w:p w:rsidR="00000000" w:rsidRDefault="00EA582C">
      <w:r>
        <w:t>- прием комбинированных оральных контрацептивов (категория рекомендаций А) [</w:t>
      </w:r>
      <w:hyperlink w:anchor="sub_40001" w:history="1">
        <w:r>
          <w:rPr>
            <w:rStyle w:val="a4"/>
          </w:rPr>
          <w:t>1</w:t>
        </w:r>
      </w:hyperlink>
      <w:r>
        <w:t xml:space="preserve">, </w:t>
      </w:r>
      <w:hyperlink w:anchor="sub_40003" w:history="1">
        <w:r>
          <w:rPr>
            <w:rStyle w:val="a4"/>
          </w:rPr>
          <w:t>3</w:t>
        </w:r>
      </w:hyperlink>
      <w:r>
        <w:t xml:space="preserve">, </w:t>
      </w:r>
      <w:hyperlink w:anchor="sub_40005" w:history="1">
        <w:r>
          <w:rPr>
            <w:rStyle w:val="a4"/>
          </w:rPr>
          <w:t>5</w:t>
        </w:r>
      </w:hyperlink>
      <w:r>
        <w:t xml:space="preserve">, </w:t>
      </w:r>
      <w:hyperlink w:anchor="sub_40006" w:history="1">
        <w:r>
          <w:rPr>
            <w:rStyle w:val="a4"/>
          </w:rPr>
          <w:t>6</w:t>
        </w:r>
      </w:hyperlink>
      <w:r>
        <w:t xml:space="preserve">, </w:t>
      </w:r>
      <w:hyperlink w:anchor="sub_40021" w:history="1">
        <w:r>
          <w:rPr>
            <w:rStyle w:val="a4"/>
          </w:rPr>
          <w:t>21</w:t>
        </w:r>
      </w:hyperlink>
      <w:r>
        <w:t xml:space="preserve">, </w:t>
      </w:r>
      <w:hyperlink w:anchor="sub_40042" w:history="1">
        <w:r>
          <w:rPr>
            <w:rStyle w:val="a4"/>
          </w:rPr>
          <w:t>42</w:t>
        </w:r>
      </w:hyperlink>
      <w:r>
        <w:t>].</w:t>
      </w:r>
    </w:p>
    <w:p w:rsidR="00000000" w:rsidRDefault="00EA582C"/>
    <w:p w:rsidR="00000000" w:rsidRDefault="00EA582C">
      <w:pPr>
        <w:pStyle w:val="1"/>
      </w:pPr>
      <w:bookmarkStart w:id="10" w:name="sub_1520"/>
      <w:r>
        <w:t>Группы риска по раку яичников</w:t>
      </w:r>
    </w:p>
    <w:bookmarkEnd w:id="10"/>
    <w:p w:rsidR="00000000" w:rsidRDefault="00EA582C"/>
    <w:p w:rsidR="00000000" w:rsidRDefault="00EA582C">
      <w:pPr>
        <w:pStyle w:val="1"/>
      </w:pPr>
      <w:bookmarkStart w:id="11" w:name="sub_1521"/>
      <w:r>
        <w:t>Группы высокого риска</w:t>
      </w:r>
    </w:p>
    <w:bookmarkEnd w:id="11"/>
    <w:p w:rsidR="00000000" w:rsidRDefault="00EA582C"/>
    <w:p w:rsidR="00000000" w:rsidRDefault="00EA582C">
      <w:r>
        <w:t>- Установленное носительство мутаций, предрасполагающих к наследственному раку яичников: BRCA1, BRCA2, Р53, STK11 (синдром Пейтц</w:t>
      </w:r>
      <w:r>
        <w:t>-Егерса), генов репарации ДНК (синдром Линча - наследственный неполипозный колоректальный рак), RAD51C. В зарубежной практике при установленном носительстве предрасполагающих мутаций рекомендуется профилактическая двусторонняя овариоэктомия после завершени</w:t>
      </w:r>
      <w:r>
        <w:t xml:space="preserve">я репродуктивных планов; в случае отказа пациентки - увеличение кратности программы скрининга </w:t>
      </w:r>
      <w:hyperlink w:anchor="sub_40001" w:history="1">
        <w:r>
          <w:rPr>
            <w:rStyle w:val="a4"/>
          </w:rPr>
          <w:t>[1]</w:t>
        </w:r>
      </w:hyperlink>
      <w:r>
        <w:t>. В России данный подход не применяется, поскольку не регламентирован порядками и стандартами.</w:t>
      </w:r>
    </w:p>
    <w:p w:rsidR="00000000" w:rsidRDefault="00EA582C">
      <w:r>
        <w:lastRenderedPageBreak/>
        <w:t>- Отягощенный семейный онкологический</w:t>
      </w:r>
      <w:r>
        <w:t xml:space="preserve"> анамнез по раку яичников, толстой кишки и молочных желез, свидетельствующий в пользу высокой вероятности носительства предрасполагающих мутаций</w:t>
      </w:r>
    </w:p>
    <w:p w:rsidR="00000000" w:rsidRDefault="00EA582C">
      <w:r>
        <w:t>- две и более родственницы первой линии родства, как по отношению к пробанду, так и между собой, страдающих рак</w:t>
      </w:r>
      <w:r>
        <w:t>ом яичников;</w:t>
      </w:r>
    </w:p>
    <w:p w:rsidR="00000000" w:rsidRDefault="00EA582C">
      <w:r>
        <w:t>- одна родственница первой линии родства, страдающая раком яичников и вторая родственница первой линии родства, заболевшая раком молочных желез до 50 лет (или родственник, заболевший раком грудных желез), которые также состоят в прямом родстве</w:t>
      </w:r>
      <w:r>
        <w:t xml:space="preserve"> между собой;</w:t>
      </w:r>
    </w:p>
    <w:p w:rsidR="00000000" w:rsidRDefault="00EA582C">
      <w:r>
        <w:t>- одна родственница, заболевшая раком яичников в любом возрасте и две родственницы, состоящие в прямом родстве между собой, заболевшие раком молочных желез до 60 лет (для мужчин-родственников - раком грудных желез);</w:t>
      </w:r>
    </w:p>
    <w:p w:rsidR="00000000" w:rsidRDefault="00EA582C">
      <w:r>
        <w:t>- три и более кровных член</w:t>
      </w:r>
      <w:r>
        <w:t>ов семьи, страдающих колоректальным раком, или два - колоректальным и один - раком желудка, яичников, эндометрия, мочевыделительной системы, тонкой кишки в двух поколениях. У одного из родственников рак должен быть диагностирован до 50 лет, а пораженные чл</w:t>
      </w:r>
      <w:r>
        <w:t>ены семьи должны состоять в прямом родстве;</w:t>
      </w:r>
    </w:p>
    <w:p w:rsidR="00000000" w:rsidRDefault="00EA582C">
      <w:r>
        <w:t xml:space="preserve">- одна родственница, страдающая первично множественным раком молочных желез и яичников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- ультразвуковые признаки злокачественности в соответствии с рекомендациями ЮТА </w:t>
      </w:r>
      <w:hyperlink w:anchor="sub_40046" w:history="1">
        <w:r>
          <w:rPr>
            <w:rStyle w:val="a4"/>
          </w:rPr>
          <w:t>[46]</w:t>
        </w:r>
      </w:hyperlink>
      <w:r>
        <w:t>;</w:t>
      </w:r>
    </w:p>
    <w:p w:rsidR="00000000" w:rsidRDefault="00EA582C">
      <w:r>
        <w:t>- значение индекса риска малигнизации (RMI) 250 и более [</w:t>
      </w:r>
      <w:hyperlink w:anchor="sub_40010" w:history="1">
        <w:r>
          <w:rPr>
            <w:rStyle w:val="a4"/>
          </w:rPr>
          <w:t>10</w:t>
        </w:r>
      </w:hyperlink>
      <w:r>
        <w:t xml:space="preserve">, </w:t>
      </w:r>
      <w:hyperlink w:anchor="sub_40011" w:history="1">
        <w:r>
          <w:rPr>
            <w:rStyle w:val="a4"/>
          </w:rPr>
          <w:t>11</w:t>
        </w:r>
      </w:hyperlink>
      <w:r>
        <w:t xml:space="preserve">, </w:t>
      </w:r>
      <w:hyperlink w:anchor="sub_40016" w:history="1">
        <w:r>
          <w:rPr>
            <w:rStyle w:val="a4"/>
          </w:rPr>
          <w:t>16</w:t>
        </w:r>
      </w:hyperlink>
      <w:r>
        <w:t xml:space="preserve">, </w:t>
      </w:r>
      <w:hyperlink w:anchor="sub_40050" w:history="1">
        <w:r>
          <w:rPr>
            <w:rStyle w:val="a4"/>
          </w:rPr>
          <w:t>50</w:t>
        </w:r>
      </w:hyperlink>
      <w:r>
        <w:t>];</w:t>
      </w:r>
    </w:p>
    <w:p w:rsidR="00000000" w:rsidRDefault="00EA582C">
      <w:r>
        <w:t>- значение индекса ROMA 7, 39% и более в пременопаузе; 25, 29% - в постменопаузе [</w:t>
      </w:r>
      <w:hyperlink w:anchor="sub_40001" w:history="1">
        <w:r>
          <w:rPr>
            <w:rStyle w:val="a4"/>
          </w:rPr>
          <w:t>1</w:t>
        </w:r>
      </w:hyperlink>
      <w:r>
        <w:t xml:space="preserve">, </w:t>
      </w:r>
      <w:hyperlink w:anchor="sub_40004" w:history="1">
        <w:r>
          <w:rPr>
            <w:rStyle w:val="a4"/>
          </w:rPr>
          <w:t>4</w:t>
        </w:r>
      </w:hyperlink>
      <w:r>
        <w:t xml:space="preserve">, </w:t>
      </w:r>
      <w:hyperlink w:anchor="sub_40006" w:history="1">
        <w:r>
          <w:rPr>
            <w:rStyle w:val="a4"/>
          </w:rPr>
          <w:t>6</w:t>
        </w:r>
      </w:hyperlink>
      <w:r>
        <w:t>].</w:t>
      </w:r>
    </w:p>
    <w:p w:rsidR="00000000" w:rsidRDefault="00EA582C"/>
    <w:p w:rsidR="00000000" w:rsidRDefault="00EA582C">
      <w:pPr>
        <w:pStyle w:val="1"/>
      </w:pPr>
      <w:bookmarkStart w:id="12" w:name="sub_1522"/>
      <w:r>
        <w:t>Группы умеренного риска</w:t>
      </w:r>
    </w:p>
    <w:bookmarkEnd w:id="12"/>
    <w:p w:rsidR="00000000" w:rsidRDefault="00EA582C"/>
    <w:p w:rsidR="00000000" w:rsidRDefault="00EA582C">
      <w:r>
        <w:t>- Злокачественное новообразование экстраовариальной локализации в анамнезе [</w:t>
      </w:r>
      <w:hyperlink w:anchor="sub_40001" w:history="1">
        <w:r>
          <w:rPr>
            <w:rStyle w:val="a4"/>
          </w:rPr>
          <w:t>1</w:t>
        </w:r>
      </w:hyperlink>
      <w:r>
        <w:t xml:space="preserve">, </w:t>
      </w:r>
      <w:hyperlink w:anchor="sub_40011" w:history="1">
        <w:r>
          <w:rPr>
            <w:rStyle w:val="a4"/>
          </w:rPr>
          <w:t>11</w:t>
        </w:r>
      </w:hyperlink>
      <w:r>
        <w:t>].</w:t>
      </w:r>
    </w:p>
    <w:p w:rsidR="00000000" w:rsidRDefault="00EA582C">
      <w:r>
        <w:t xml:space="preserve">- Объемное образование яичников кистозного строения в постменопаузе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- Сочетание двух </w:t>
      </w:r>
      <w:r>
        <w:t>и более дополнительных факторов риска.</w:t>
      </w:r>
    </w:p>
    <w:p w:rsidR="00000000" w:rsidRDefault="00EA582C"/>
    <w:p w:rsidR="00000000" w:rsidRDefault="00EA582C">
      <w:pPr>
        <w:pStyle w:val="1"/>
      </w:pPr>
      <w:bookmarkStart w:id="13" w:name="sub_1523"/>
      <w:r>
        <w:t>Группа низкого риска</w:t>
      </w:r>
    </w:p>
    <w:bookmarkEnd w:id="13"/>
    <w:p w:rsidR="00000000" w:rsidRDefault="00EA582C"/>
    <w:p w:rsidR="00000000" w:rsidRDefault="00EA582C">
      <w:r>
        <w:t>- Общая популяция.</w:t>
      </w:r>
    </w:p>
    <w:p w:rsidR="00000000" w:rsidRDefault="00EA582C">
      <w:r>
        <w:t>- Женщины без основных и дополнительных факторов риска.</w:t>
      </w:r>
    </w:p>
    <w:p w:rsidR="00000000" w:rsidRDefault="00EA582C"/>
    <w:p w:rsidR="00000000" w:rsidRDefault="00EA582C">
      <w:pPr>
        <w:pStyle w:val="1"/>
      </w:pPr>
      <w:bookmarkStart w:id="14" w:name="sub_1600"/>
      <w:r>
        <w:t>Классификация опухолей (новообразований) и кист яичников</w:t>
      </w:r>
    </w:p>
    <w:bookmarkEnd w:id="14"/>
    <w:p w:rsidR="00000000" w:rsidRDefault="00EA582C"/>
    <w:p w:rsidR="00000000" w:rsidRDefault="00EA582C">
      <w:r>
        <w:t>Наиболее актуальной и обосно</w:t>
      </w:r>
      <w:r>
        <w:t>ванной в настоящее время может считаться гистологическая классификация опухолей яичников, принятая ВОЗ в 2014 году с учетом современных представлений о патогенезе опухолей яичника, а также их молекулярно-генетических и биологических особенностей.</w:t>
      </w:r>
    </w:p>
    <w:p w:rsidR="00000000" w:rsidRDefault="00EA582C">
      <w:r>
        <w:t>В соответ</w:t>
      </w:r>
      <w:r>
        <w:t>ствии с данной классификацией выделяют:</w:t>
      </w:r>
    </w:p>
    <w:p w:rsidR="00000000" w:rsidRDefault="00EA582C">
      <w:r>
        <w:t>1. Опухолеподобные поражения яичников: фолликулярные кисты, кисты желтого тела, лютеомы беременности и др.</w:t>
      </w:r>
    </w:p>
    <w:p w:rsidR="00000000" w:rsidRDefault="00EA582C">
      <w:r>
        <w:t>2. Опухоли яичников: эпителиальные, мезенхимальные, смешанные эпителиально-мезенхимальные, опухоли полового т</w:t>
      </w:r>
      <w:r>
        <w:t xml:space="preserve">яжа и стромы, </w:t>
      </w:r>
      <w:r>
        <w:lastRenderedPageBreak/>
        <w:t>зародышевоклеточные, смешанные зародышевоклеточные и полового тяжа и стромы, мезотелиальные.</w:t>
      </w:r>
    </w:p>
    <w:p w:rsidR="00000000" w:rsidRDefault="00EA582C">
      <w:r>
        <w:t>В каждой из групп опухолей яичника выделяют доброкачественные и злокачественные варианты. Среди эпителиальных опухолей яичника также выделяют пограни</w:t>
      </w:r>
      <w:r>
        <w:t xml:space="preserve">чные опухоли </w:t>
      </w:r>
      <w:hyperlink w:anchor="sub_40002" w:history="1">
        <w:r>
          <w:rPr>
            <w:rStyle w:val="a4"/>
          </w:rPr>
          <w:t>[2]</w:t>
        </w:r>
      </w:hyperlink>
      <w:r>
        <w:t>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NB! Цистаденома яичников - доброкачественная опухоль яичников кистозного строения.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Киста яичников - ретенционное функциональное образование яичников кистозного строения (киста желтого тела или фолликулярная киста).</w:t>
            </w:r>
          </w:p>
        </w:tc>
      </w:tr>
    </w:tbl>
    <w:p w:rsidR="00000000" w:rsidRDefault="00EA582C"/>
    <w:p w:rsidR="00000000" w:rsidRDefault="00EA582C">
      <w:r>
        <w:t>Термин "кистома", использовавшийся в отечественной практике ранее, и отсутствующий в научных англоязычных источниках, следует считать анахронизмом.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Термин "кистома" в настоящее время не используется.</w:t>
            </w:r>
          </w:p>
        </w:tc>
      </w:tr>
    </w:tbl>
    <w:p w:rsidR="00000000" w:rsidRDefault="00EA582C"/>
    <w:p w:rsidR="00000000" w:rsidRDefault="00EA582C">
      <w:pPr>
        <w:pStyle w:val="1"/>
      </w:pPr>
      <w:bookmarkStart w:id="15" w:name="sub_1610"/>
      <w:r>
        <w:t>Гистологическая классификация опухолей яи</w:t>
      </w:r>
      <w:r>
        <w:t>чников</w:t>
      </w:r>
    </w:p>
    <w:bookmarkEnd w:id="15"/>
    <w:p w:rsidR="00000000" w:rsidRDefault="00EA582C"/>
    <w:p w:rsidR="00000000" w:rsidRDefault="00EA582C">
      <w:r>
        <w:t xml:space="preserve">Классификация ВОЗ (2014) опухолей яичников основана на их гистологическом строении (см. Приложение Б, </w:t>
      </w:r>
      <w:hyperlink w:anchor="sub_20100" w:history="1">
        <w:r>
          <w:rPr>
            <w:rStyle w:val="a4"/>
          </w:rPr>
          <w:t>таблица 1</w:t>
        </w:r>
      </w:hyperlink>
      <w:r>
        <w:t xml:space="preserve">) </w:t>
      </w:r>
      <w:hyperlink w:anchor="sub_40002" w:history="1">
        <w:r>
          <w:rPr>
            <w:rStyle w:val="a4"/>
          </w:rPr>
          <w:t>[2]</w:t>
        </w:r>
      </w:hyperlink>
      <w:r>
        <w:t xml:space="preserve">. Каждая из морфологических групп подразделяется на доброкачественные </w:t>
      </w:r>
      <w:r>
        <w:t>и злокачественные варианты. Среди эпителиальных опухолей яичников также охарактеризованы пограничные новообразования.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Окончательно судить о характере процесса (доброкачественный/злокачественный), и прогнозе заболевания, возможно только после получения</w:t>
            </w:r>
            <w:r>
              <w:t xml:space="preserve"> результата развернутого морфологического исследования удаленного макропрепарата.</w:t>
            </w:r>
          </w:p>
        </w:tc>
      </w:tr>
    </w:tbl>
    <w:p w:rsidR="00000000" w:rsidRDefault="00EA582C"/>
    <w:p w:rsidR="00000000" w:rsidRDefault="00EA582C">
      <w:r>
        <w:t>Таким образом, особое значение имеет своевременное оперативное лечение пациенток с ДОЯ. Имеющиеся лучевые и лабораторные методы исследования существенно облегчают предварит</w:t>
      </w:r>
      <w:r>
        <w:t>ельную диагностику и помогают в маршрутизации больной и разработке хирургической тактики (выбор доступа и объема операции), однако, не позволяют со 100% вероятностью исключить злокачественный рост, в том числе при ультразвуковой картине одностороннего одно</w:t>
      </w:r>
      <w:r>
        <w:t>камерного кистозного образования яичников без эхографических признаков папиллярных разрастаний.</w:t>
      </w:r>
    </w:p>
    <w:p w:rsidR="00000000" w:rsidRDefault="00EA582C">
      <w:r>
        <w:t>В соответствии с классификацией ВОЗ (2014), основные нозологические группы сформированы по категориям [</w:t>
      </w:r>
      <w:hyperlink w:anchor="sub_40003" w:history="1">
        <w:r>
          <w:rPr>
            <w:rStyle w:val="a4"/>
          </w:rPr>
          <w:t>3</w:t>
        </w:r>
      </w:hyperlink>
      <w:r>
        <w:t xml:space="preserve">, </w:t>
      </w:r>
      <w:hyperlink w:anchor="sub_40021" w:history="1">
        <w:r>
          <w:rPr>
            <w:rStyle w:val="a4"/>
          </w:rPr>
          <w:t>21</w:t>
        </w:r>
      </w:hyperlink>
      <w:r>
        <w:t>]:</w:t>
      </w:r>
    </w:p>
    <w:p w:rsidR="00000000" w:rsidRDefault="00EA582C">
      <w:r>
        <w:t>- эпителиальные,</w:t>
      </w:r>
    </w:p>
    <w:p w:rsidR="00000000" w:rsidRDefault="00EA582C">
      <w:r>
        <w:t>- стромальные,</w:t>
      </w:r>
    </w:p>
    <w:p w:rsidR="00000000" w:rsidRDefault="00EA582C">
      <w:r>
        <w:t>- мезенхимальные опухоли,</w:t>
      </w:r>
    </w:p>
    <w:p w:rsidR="00000000" w:rsidRDefault="00EA582C">
      <w:r>
        <w:t>- опухоли стромы полового тяжа,</w:t>
      </w:r>
    </w:p>
    <w:p w:rsidR="00000000" w:rsidRDefault="00EA582C">
      <w:r>
        <w:t>- герминогенные опухоли,</w:t>
      </w:r>
    </w:p>
    <w:p w:rsidR="00000000" w:rsidRDefault="00EA582C">
      <w:r>
        <w:t>- смешанные,</w:t>
      </w:r>
    </w:p>
    <w:p w:rsidR="00000000" w:rsidRDefault="00EA582C">
      <w:r>
        <w:t>- лимфопролиферативные заболевания,</w:t>
      </w:r>
    </w:p>
    <w:p w:rsidR="00000000" w:rsidRDefault="00EA582C">
      <w:r>
        <w:t>- опухолеподобные заболевания,</w:t>
      </w:r>
    </w:p>
    <w:p w:rsidR="00000000" w:rsidRDefault="00EA582C">
      <w:r>
        <w:t>- вторичные (метастатические) опухоли.</w:t>
      </w:r>
    </w:p>
    <w:p w:rsidR="00000000" w:rsidRDefault="00EA582C">
      <w:r>
        <w:t>В зависимости от морфологических признаков атипии клеток и наличия инвазии опухоли яичников подразделены на;</w:t>
      </w:r>
    </w:p>
    <w:p w:rsidR="00000000" w:rsidRDefault="00EA582C">
      <w:r>
        <w:t>0 - доброкачественная опухоль;</w:t>
      </w:r>
    </w:p>
    <w:p w:rsidR="00000000" w:rsidRDefault="00EA582C">
      <w:r>
        <w:lastRenderedPageBreak/>
        <w:t>1 - неопределенный потенциал злокачественности или пограничная опухоль;</w:t>
      </w:r>
    </w:p>
    <w:p w:rsidR="00000000" w:rsidRDefault="00EA582C">
      <w:r>
        <w:t>2 - карцинома in situ, или интраэпителиальна</w:t>
      </w:r>
      <w:r>
        <w:t>я неоплазия III степени;</w:t>
      </w:r>
    </w:p>
    <w:p w:rsidR="00000000" w:rsidRDefault="00EA582C">
      <w:r>
        <w:t>3 - злокачественная инвазивная опухоль.</w:t>
      </w:r>
    </w:p>
    <w:p w:rsidR="00000000" w:rsidRDefault="00EA582C"/>
    <w:p w:rsidR="00000000" w:rsidRDefault="00EA582C">
      <w:pPr>
        <w:pStyle w:val="1"/>
      </w:pPr>
      <w:bookmarkStart w:id="16" w:name="sub_1700"/>
      <w:r>
        <w:t>Клинические симптомы опухолей яичников</w:t>
      </w:r>
    </w:p>
    <w:bookmarkEnd w:id="16"/>
    <w:p w:rsidR="00000000" w:rsidRDefault="00EA582C"/>
    <w:p w:rsidR="00000000" w:rsidRDefault="00EA582C">
      <w:r>
        <w:t>Опухоли яичников (доброкачественные и злокачественные) характеризуются длительным бессимптомным течением [</w:t>
      </w:r>
      <w:hyperlink w:anchor="sub_40001" w:history="1">
        <w:r>
          <w:rPr>
            <w:rStyle w:val="a4"/>
          </w:rPr>
          <w:t>1</w:t>
        </w:r>
      </w:hyperlink>
      <w:r>
        <w:t xml:space="preserve">, </w:t>
      </w:r>
      <w:hyperlink w:anchor="sub_40004" w:history="1">
        <w:r>
          <w:rPr>
            <w:rStyle w:val="a4"/>
          </w:rPr>
          <w:t>4</w:t>
        </w:r>
      </w:hyperlink>
      <w:r>
        <w:t xml:space="preserve">, </w:t>
      </w:r>
      <w:hyperlink w:anchor="sub_40006" w:history="1">
        <w:r>
          <w:rPr>
            <w:rStyle w:val="a4"/>
          </w:rPr>
          <w:t>6</w:t>
        </w:r>
      </w:hyperlink>
      <w:r>
        <w:t>].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Опухоли яичников в подавляющем большинстве случаев протекают бессимптомно.</w:t>
            </w:r>
          </w:p>
        </w:tc>
      </w:tr>
    </w:tbl>
    <w:p w:rsidR="00000000" w:rsidRDefault="00EA582C"/>
    <w:p w:rsidR="00000000" w:rsidRDefault="00EA582C">
      <w:r>
        <w:t>Клинические симптомы появляются при:</w:t>
      </w:r>
    </w:p>
    <w:p w:rsidR="00000000" w:rsidRDefault="00EA582C">
      <w:r>
        <w:t>- возникновении осложнений (перекрут ножки опухоли, разрыв, кровоизлияние,</w:t>
      </w:r>
      <w:r>
        <w:t xml:space="preserve"> нагноение ОЯ) - симптомы "острого живота";</w:t>
      </w:r>
    </w:p>
    <w:p w:rsidR="00000000" w:rsidRDefault="00EA582C">
      <w:r>
        <w:t>- развитии асцита, гидроторакса в сочетании с наличием яичникового новообразования (описаны как для доброкачественных (синдром Мейгса), так и злокачественных опухолей яичников);</w:t>
      </w:r>
    </w:p>
    <w:p w:rsidR="00000000" w:rsidRDefault="00EA582C">
      <w:r>
        <w:t xml:space="preserve">- гормональной активности опухоли </w:t>
      </w:r>
      <w:r>
        <w:t>(симптомы гиперпродукции тех или иных гормонов):</w:t>
      </w:r>
    </w:p>
    <w:p w:rsidR="00000000" w:rsidRDefault="00EA582C">
      <w:r>
        <w:t>- андрогенов или эстрогенов при опухолях стромы полового тяжа;</w:t>
      </w:r>
    </w:p>
    <w:p w:rsidR="00000000" w:rsidRDefault="00EA582C">
      <w:r>
        <w:t>- реже - других гормонов (например, при дисгерминомах, симптомы гипертиреоза при struma ovarii) [</w:t>
      </w:r>
      <w:hyperlink w:anchor="sub_40006" w:history="1">
        <w:r>
          <w:rPr>
            <w:rStyle w:val="a4"/>
          </w:rPr>
          <w:t>6</w:t>
        </w:r>
      </w:hyperlink>
      <w:r>
        <w:t xml:space="preserve">, </w:t>
      </w:r>
      <w:hyperlink w:anchor="sub_40042" w:history="1">
        <w:r>
          <w:rPr>
            <w:rStyle w:val="a4"/>
          </w:rPr>
          <w:t>42</w:t>
        </w:r>
      </w:hyperlink>
      <w:r>
        <w:t>].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На опухолевую природу гиперандрогении или гиперэстргении указывает резкое нарастание соответствующих гормон-обусловленных симптомов при общем "благополучном" анамнезе.</w:t>
            </w:r>
          </w:p>
        </w:tc>
      </w:tr>
    </w:tbl>
    <w:p w:rsidR="00000000" w:rsidRDefault="00EA582C"/>
    <w:p w:rsidR="00000000" w:rsidRDefault="00EA582C">
      <w:r>
        <w:t>Признаки андроген-продуцирующих опухолей</w:t>
      </w:r>
    </w:p>
    <w:p w:rsidR="00000000" w:rsidRDefault="00EA582C">
      <w:r>
        <w:t>- развитие вирилиза</w:t>
      </w:r>
      <w:r>
        <w:t>ции - исчезновение женских вторичных половых признаков, олиго-/аменорея,</w:t>
      </w:r>
    </w:p>
    <w:p w:rsidR="00000000" w:rsidRDefault="00EA582C">
      <w:r>
        <w:t>- появление вторичных мужских половых признаков (гирсутизм, перераспределение отложения жировой клетчатки по мужскому типу, огрубение голоса).</w:t>
      </w:r>
    </w:p>
    <w:p w:rsidR="00000000" w:rsidRDefault="00EA582C">
      <w:r>
        <w:t>Признаки эстроген-продуцирующих опухолей</w:t>
      </w:r>
    </w:p>
    <w:p w:rsidR="00000000" w:rsidRDefault="00EA582C">
      <w:r>
        <w:t>- преждевременное половое созревание девочек;</w:t>
      </w:r>
    </w:p>
    <w:p w:rsidR="00000000" w:rsidRDefault="00EA582C">
      <w:r>
        <w:t>- нарушение менструального цикла по типу метроррагии в репродуктивном возрасте;</w:t>
      </w:r>
    </w:p>
    <w:p w:rsidR="00000000" w:rsidRDefault="00EA582C">
      <w:r>
        <w:t>- развитие гормон-индуцированной гиперплазии эндометрия, эндометриальной интраэпителиальной неоплазии и высокодифференцированного</w:t>
      </w:r>
      <w:r>
        <w:t xml:space="preserve"> рака эндометрия;</w:t>
      </w:r>
    </w:p>
    <w:p w:rsidR="00000000" w:rsidRDefault="00EA582C">
      <w:r>
        <w:t>- отсутствие признаков возрастной атрофии наружных и внутренних гениталий в постменопаузе.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Перечисленные выше симптомы не являются специфичными для ДОЯ или злокачественных новообразований (категория рекомендаций В) [</w:t>
            </w:r>
            <w:hyperlink w:anchor="sub_40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4000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40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42" w:history="1">
              <w:r>
                <w:rPr>
                  <w:rStyle w:val="a4"/>
                </w:rPr>
                <w:t>42</w:t>
              </w:r>
            </w:hyperlink>
            <w:r>
              <w:t xml:space="preserve">, </w:t>
            </w:r>
            <w:hyperlink w:anchor="sub_40043" w:history="1">
              <w:r>
                <w:rPr>
                  <w:rStyle w:val="a4"/>
                </w:rPr>
                <w:t>43</w:t>
              </w:r>
            </w:hyperlink>
            <w:r>
              <w:t>].</w:t>
            </w:r>
          </w:p>
        </w:tc>
      </w:tr>
    </w:tbl>
    <w:p w:rsidR="00000000" w:rsidRDefault="00EA582C"/>
    <w:p w:rsidR="00000000" w:rsidRDefault="00EA582C">
      <w:r>
        <w:t xml:space="preserve">Рак яичников нередко сопровождают неспецифические жалобы, которые могут носить постоянный или частый характер (12 и более </w:t>
      </w:r>
      <w:r>
        <w:t>в месяц). Следует уделять внимание активному выявлению следующих симптомов [</w:t>
      </w:r>
      <w:hyperlink w:anchor="sub_40001" w:history="1">
        <w:r>
          <w:rPr>
            <w:rStyle w:val="a4"/>
          </w:rPr>
          <w:t>1</w:t>
        </w:r>
      </w:hyperlink>
      <w:r>
        <w:t xml:space="preserve">, </w:t>
      </w:r>
      <w:hyperlink w:anchor="sub_40004" w:history="1">
        <w:r>
          <w:rPr>
            <w:rStyle w:val="a4"/>
          </w:rPr>
          <w:t>4</w:t>
        </w:r>
      </w:hyperlink>
      <w:r>
        <w:t xml:space="preserve">, </w:t>
      </w:r>
      <w:hyperlink w:anchor="sub_40006" w:history="1">
        <w:r>
          <w:rPr>
            <w:rStyle w:val="a4"/>
          </w:rPr>
          <w:t>6</w:t>
        </w:r>
      </w:hyperlink>
      <w:r>
        <w:t xml:space="preserve">, </w:t>
      </w:r>
      <w:hyperlink w:anchor="sub_40050" w:history="1">
        <w:r>
          <w:rPr>
            <w:rStyle w:val="a4"/>
          </w:rPr>
          <w:t>50</w:t>
        </w:r>
      </w:hyperlink>
      <w:r>
        <w:t xml:space="preserve">, </w:t>
      </w:r>
      <w:hyperlink w:anchor="sub_40051" w:history="1">
        <w:r>
          <w:rPr>
            <w:rStyle w:val="a4"/>
          </w:rPr>
          <w:t>51</w:t>
        </w:r>
      </w:hyperlink>
      <w:r>
        <w:t xml:space="preserve">, </w:t>
      </w:r>
      <w:hyperlink w:anchor="sub_40052" w:history="1">
        <w:r>
          <w:rPr>
            <w:rStyle w:val="a4"/>
          </w:rPr>
          <w:t>52</w:t>
        </w:r>
      </w:hyperlink>
      <w:r>
        <w:t>]:</w:t>
      </w:r>
    </w:p>
    <w:p w:rsidR="00000000" w:rsidRDefault="00EA582C">
      <w:r>
        <w:t>- увеличение живота, чувство его переполнения или вздутия;</w:t>
      </w:r>
    </w:p>
    <w:p w:rsidR="00000000" w:rsidRDefault="00EA582C">
      <w:r>
        <w:lastRenderedPageBreak/>
        <w:t>- чувство быстрого насыщения при приеме пищи или потеря аппетита;</w:t>
      </w:r>
    </w:p>
    <w:p w:rsidR="00000000" w:rsidRDefault="00EA582C">
      <w:r>
        <w:t>- хроническая боль в животе, в том числе нижних отделах;</w:t>
      </w:r>
    </w:p>
    <w:p w:rsidR="00000000" w:rsidRDefault="00EA582C">
      <w:r>
        <w:t>- учащенное мочеиспускание или ложные позывы к мочеиспусканию.</w:t>
      </w:r>
    </w:p>
    <w:p w:rsidR="00000000" w:rsidRDefault="00EA582C">
      <w:r>
        <w:t>- Другие симптомы могут включать: кровотечения в постменопаузе; необъяснимая потеря веса; повышенная утомляемость; изменения в работе кишечника.</w:t>
      </w:r>
    </w:p>
    <w:p w:rsidR="00000000" w:rsidRDefault="00EA582C"/>
    <w:p w:rsidR="00000000" w:rsidRDefault="00EA582C">
      <w:pPr>
        <w:pStyle w:val="1"/>
      </w:pPr>
      <w:bookmarkStart w:id="17" w:name="sub_1800"/>
      <w:r>
        <w:t>Скрининг рака яичников</w:t>
      </w:r>
    </w:p>
    <w:bookmarkEnd w:id="17"/>
    <w:p w:rsidR="00000000" w:rsidRDefault="00EA582C"/>
    <w:p w:rsidR="00000000" w:rsidRDefault="00EA582C">
      <w:r>
        <w:t>В настоящее время в мире не существует общепринятого золотого стандарт</w:t>
      </w:r>
      <w:r>
        <w:t>а неинвазивной ранней диагностики, позволяющего идентифицировать злокачественные новообразования яичников на этапе пограничных опухолей и ранних стадий малигнизации. Это связано с рядом причин, в основе которых лежит отсутствие четко обоснованного представ</w:t>
      </w:r>
      <w:r>
        <w:t>ления об этиологии и патогенезе РЯ. Учитывая эти пробелы в научных знаниях, ряд требований к эффективному скринингу (ВОЗ) выполняется с поправками и условностями:</w:t>
      </w:r>
    </w:p>
    <w:p w:rsidR="00000000" w:rsidRDefault="00EA582C">
      <w:r>
        <w:t>1) скрининг должен сосредоточиться на раннем обнаружении инвазивного рака (ввиду отсутствия д</w:t>
      </w:r>
      <w:r>
        <w:t>остаточных знаний о предшествующем поражении - предраке);</w:t>
      </w:r>
    </w:p>
    <w:p w:rsidR="00000000" w:rsidRDefault="00EA582C">
      <w:r>
        <w:t>2) необходимо учитывать возможный кратчайший временной интервал перехода от I к III стадии (неизвестно, есть ли эволюционное развитие от ранней к поздней стадии или же заболевание изначально возника</w:t>
      </w:r>
      <w:r>
        <w:t>ет как диффузный процесс в брюшной полости);</w:t>
      </w:r>
    </w:p>
    <w:p w:rsidR="00000000" w:rsidRDefault="00EA582C">
      <w:r>
        <w:t>3) для улучшения прогноза для пациента следует идентифицировать и использовать метод диагностики, позволяющий определить раковую опухоль на столь ранней стадии [</w:t>
      </w:r>
      <w:hyperlink w:anchor="sub_40034" w:history="1">
        <w:r>
          <w:rPr>
            <w:rStyle w:val="a4"/>
          </w:rPr>
          <w:t>34</w:t>
        </w:r>
      </w:hyperlink>
      <w:r>
        <w:t xml:space="preserve">, </w:t>
      </w:r>
      <w:hyperlink w:anchor="sub_40035" w:history="1">
        <w:r>
          <w:rPr>
            <w:rStyle w:val="a4"/>
          </w:rPr>
          <w:t>35</w:t>
        </w:r>
      </w:hyperlink>
      <w:r>
        <w:t>].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 xml:space="preserve">Скрининг рака яичников не рекомендован в общей популяции женщин, а также у женщин без факторов риска (группа низкого риска) (уровень убедительности рекомендаций В) </w:t>
            </w:r>
            <w:hyperlink w:anchor="sub_40018" w:history="1">
              <w:r>
                <w:rPr>
                  <w:rStyle w:val="a4"/>
                </w:rPr>
                <w:t>[18]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Скрининг рака яичников не рекомендуется женщинам, не имеющим симптомов и отягощенной наследственности по раку яичников (уровень убедительности рекомендации D) [</w:t>
            </w:r>
            <w:hyperlink w:anchor="sub_40052" w:history="1">
              <w:r>
                <w:rPr>
                  <w:rStyle w:val="a4"/>
                </w:rPr>
                <w:t>52</w:t>
              </w:r>
            </w:hyperlink>
            <w:r>
              <w:t xml:space="preserve">, </w:t>
            </w:r>
            <w:hyperlink w:anchor="sub_40053" w:history="1">
              <w:r>
                <w:rPr>
                  <w:rStyle w:val="a4"/>
                </w:rPr>
                <w:t>53</w:t>
              </w:r>
            </w:hyperlink>
            <w:r>
              <w:t>].</w:t>
            </w:r>
          </w:p>
        </w:tc>
      </w:tr>
    </w:tbl>
    <w:p w:rsidR="00000000" w:rsidRDefault="00EA582C"/>
    <w:p w:rsidR="00000000" w:rsidRDefault="00EA582C">
      <w:r>
        <w:t>В группах умеренного риска (зло</w:t>
      </w:r>
      <w:r>
        <w:t xml:space="preserve">качественное новообразование экстраовариальной локализации в анамнезе, объемное образование яичников кистозного строения в постменопаузе) </w:t>
      </w:r>
      <w:hyperlink w:anchor="sub_40011" w:history="1">
        <w:r>
          <w:rPr>
            <w:rStyle w:val="a4"/>
          </w:rPr>
          <w:t>[11]</w:t>
        </w:r>
      </w:hyperlink>
      <w:r>
        <w:t xml:space="preserve">, начиная с постменопаузы, в качестве первичного скрининга рака яичников рекомендовано </w:t>
      </w:r>
      <w:r>
        <w:t>ежегодное определение СА 125 сыворотки крови в сочетании с трансвагинальной эхографией органов малого таза в дополнение к общему и специальному гинекологическому осмотру [</w:t>
      </w:r>
      <w:hyperlink w:anchor="sub_40001" w:history="1">
        <w:r>
          <w:rPr>
            <w:rStyle w:val="a4"/>
          </w:rPr>
          <w:t>1</w:t>
        </w:r>
      </w:hyperlink>
      <w:r>
        <w:t xml:space="preserve">, 11, </w:t>
      </w:r>
      <w:hyperlink w:anchor="sub_40018" w:history="1">
        <w:r>
          <w:rPr>
            <w:rStyle w:val="a4"/>
          </w:rPr>
          <w:t>18</w:t>
        </w:r>
      </w:hyperlink>
      <w:r>
        <w:t xml:space="preserve">, </w:t>
      </w:r>
      <w:hyperlink w:anchor="sub_40044" w:history="1">
        <w:r>
          <w:rPr>
            <w:rStyle w:val="a4"/>
          </w:rPr>
          <w:t>44</w:t>
        </w:r>
      </w:hyperlink>
      <w:r>
        <w:t>].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 xml:space="preserve">NB! Стойкие нерегрессирующие кисты яичников следует пересматривать через 3 месяца, а затем на выборочной основе каждые 6 месяцев </w:t>
            </w:r>
            <w:hyperlink w:anchor="sub_40001" w:history="1">
              <w:r>
                <w:rPr>
                  <w:rStyle w:val="a4"/>
                </w:rPr>
                <w:t>[1]</w:t>
              </w:r>
            </w:hyperlink>
            <w:r>
              <w:t xml:space="preserve">. Рекомендуется проводить ежегодные трансвагинальные УЗИ в течение 3 лет и СА 125 в </w:t>
            </w:r>
            <w:r>
              <w:t>течение 5 лет с момента постановки диагноза (Американский колледж акушерства и гинекологии (ACOG)) [1].</w:t>
            </w:r>
          </w:p>
        </w:tc>
      </w:tr>
    </w:tbl>
    <w:p w:rsidR="00000000" w:rsidRDefault="00EA582C"/>
    <w:p w:rsidR="00000000" w:rsidRDefault="00EA582C">
      <w:r>
        <w:t>Данные рекомендации связаны с тем, что простые однокамерные кисты яичников распространены в постменопаузе, имеют низкий злокачественный потенциал и, в</w:t>
      </w:r>
      <w:r>
        <w:t>ероятно, останутся стабильными или самостоятельно регрессируют без хирургического вмешательства.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 xml:space="preserve">NB! Увеличение размера кисты или повышение уровня СА 125 должно побудить врача рассмотреть возможность хирургического лечения </w:t>
            </w:r>
            <w:hyperlink w:anchor="sub_40001" w:history="1">
              <w:r>
                <w:rPr>
                  <w:rStyle w:val="a4"/>
                </w:rPr>
                <w:t>[1]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 xml:space="preserve">Пациенткам группы высокого риска наследственного рака яичников рекомендуется </w:t>
      </w:r>
      <w:r>
        <w:t xml:space="preserve">трансвагинальная эхография органов малого таза и определение СА 125 каждые 6 месяцев, начиная с 30 лет или за 5-10 лет до наименьшего возраста дебюта рака яичников у родственницы. Двусторонней аднексэктомии (синоним - билатеральная сальпинго-оофорэктомия) </w:t>
      </w:r>
      <w:r>
        <w:t xml:space="preserve">отдается предпочтение, как ввиду снижения риска рака яичников на 80-95%, так и уменьшения риска рака молочных желез в пременопаузе на 50%. Двусторонняя аднексэктомия не снижает риск первичного перитонеального рака (около 4%) (категория рекомендаций В) </w:t>
      </w:r>
      <w:hyperlink w:anchor="sub_40001" w:history="1">
        <w:r>
          <w:rPr>
            <w:rStyle w:val="a4"/>
          </w:rPr>
          <w:t>[1]</w:t>
        </w:r>
      </w:hyperlink>
      <w:r>
        <w:t>.</w:t>
      </w:r>
    </w:p>
    <w:p w:rsidR="00000000" w:rsidRDefault="00EA582C">
      <w:r>
        <w:t>Для определения группы высокого риска ненаследственного рака яичников могут использоваться прогностические модели IOТА, RMI и ROMA (категория рекомендаций В) [</w:t>
      </w:r>
      <w:hyperlink w:anchor="sub_40001" w:history="1">
        <w:r>
          <w:rPr>
            <w:rStyle w:val="a4"/>
          </w:rPr>
          <w:t>1</w:t>
        </w:r>
      </w:hyperlink>
      <w:r>
        <w:t xml:space="preserve">, </w:t>
      </w:r>
      <w:hyperlink w:anchor="sub_40004" w:history="1">
        <w:r>
          <w:rPr>
            <w:rStyle w:val="a4"/>
          </w:rPr>
          <w:t>4</w:t>
        </w:r>
      </w:hyperlink>
      <w:r>
        <w:t xml:space="preserve">, </w:t>
      </w:r>
      <w:hyperlink w:anchor="sub_40006" w:history="1">
        <w:r>
          <w:rPr>
            <w:rStyle w:val="a4"/>
          </w:rPr>
          <w:t>6</w:t>
        </w:r>
      </w:hyperlink>
      <w:r>
        <w:t xml:space="preserve">, </w:t>
      </w:r>
      <w:hyperlink w:anchor="sub_40046" w:history="1">
        <w:r>
          <w:rPr>
            <w:rStyle w:val="a4"/>
          </w:rPr>
          <w:t>46-48</w:t>
        </w:r>
      </w:hyperlink>
      <w:r>
        <w:t>].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Высокий риск рака яичников в соответствии с одной или несколькими указанными прогностическими моделями указывают на необходимость консультации онколога и маршрутизации пациентки в стационар онкол</w:t>
            </w:r>
            <w:r>
              <w:t>огического профиля (категория рекомендаций В) [</w:t>
            </w:r>
            <w:hyperlink w:anchor="sub_40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40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40046" w:history="1">
              <w:r>
                <w:rPr>
                  <w:rStyle w:val="a4"/>
                </w:rPr>
                <w:t>46-48</w:t>
              </w:r>
            </w:hyperlink>
            <w:r>
              <w:t>].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Совокупность клинико-лабораторных и эхографических данных с учетом умеренног</w:t>
            </w:r>
            <w:r>
              <w:t>о риска злокачественного процесса в соответствии с избранной прогностической моделью, свидетельствующая в пользу ДОЯ, позволяет маршрутизировать пациентку в гинекологический стационар (категория рекомендаций В) [</w:t>
            </w:r>
            <w:hyperlink w:anchor="sub_40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40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40046" w:history="1">
              <w:r>
                <w:rPr>
                  <w:rStyle w:val="a4"/>
                </w:rPr>
                <w:t>46-48</w:t>
              </w:r>
            </w:hyperlink>
            <w:r>
              <w:t>].</w:t>
            </w:r>
          </w:p>
        </w:tc>
      </w:tr>
    </w:tbl>
    <w:p w:rsidR="00000000" w:rsidRDefault="00EA582C"/>
    <w:p w:rsidR="00000000" w:rsidRDefault="00EA582C">
      <w:r>
        <w:t>В настоящее время продолжается поиск более эффективных скрининговых программ по выявлению злокачественных опухолей яичников ранних стадий, так как комбинация эхографии орга</w:t>
      </w:r>
      <w:r>
        <w:t xml:space="preserve">нов малого таза и определения СА 125 сыворотки крови признаны неэффективным скринингом ранних стадий рака яичников (категория рекомендаций В) </w:t>
      </w:r>
      <w:hyperlink w:anchor="sub_40001" w:history="1">
        <w:r>
          <w:rPr>
            <w:rStyle w:val="a4"/>
          </w:rPr>
          <w:t>[1]</w:t>
        </w:r>
      </w:hyperlink>
      <w:r>
        <w:t xml:space="preserve">, и не снижают смертность от рака яичников </w:t>
      </w:r>
      <w:hyperlink w:anchor="sub_40018" w:history="1">
        <w:r>
          <w:rPr>
            <w:rStyle w:val="a4"/>
          </w:rPr>
          <w:t>[18]</w:t>
        </w:r>
      </w:hyperlink>
      <w:r>
        <w:t>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Трансвагинальная эхография выявляет объемное образование придатков матки (клинический синдром), который требует дальнейшего дифференциально-диагностического поиска [</w:t>
            </w:r>
            <w:hyperlink w:anchor="sub_40001" w:history="1"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w:anchor="sub_40051" w:history="1">
              <w:r>
                <w:rPr>
                  <w:rStyle w:val="a4"/>
                </w:rPr>
                <w:t>51</w:t>
              </w:r>
            </w:hyperlink>
            <w:r>
              <w:t xml:space="preserve">, </w:t>
            </w:r>
            <w:hyperlink w:anchor="sub_40052" w:history="1">
              <w:r>
                <w:rPr>
                  <w:rStyle w:val="a4"/>
                </w:rPr>
                <w:t>52</w:t>
              </w:r>
            </w:hyperlink>
            <w:r>
              <w:t xml:space="preserve">, </w:t>
            </w:r>
            <w:hyperlink w:anchor="sub_40053" w:history="1">
              <w:r>
                <w:rPr>
                  <w:rStyle w:val="a4"/>
                </w:rPr>
                <w:t>53</w:t>
              </w:r>
            </w:hyperlink>
            <w:r>
              <w:t>].</w:t>
            </w:r>
          </w:p>
        </w:tc>
      </w:tr>
    </w:tbl>
    <w:p w:rsidR="00000000" w:rsidRDefault="00EA582C"/>
    <w:p w:rsidR="00000000" w:rsidRDefault="00EA582C">
      <w:r>
        <w:t>Около 50% аденокарциномы яичников ранних стадий являются СА 125 негативными.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Нормативные значения СА 125 (менее 35 МЕ/мл) не исключают наличие рака яичников [</w:t>
            </w:r>
            <w:hyperlink w:anchor="sub_40001" w:history="1"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w:anchor="sub_40051" w:history="1">
              <w:r>
                <w:rPr>
                  <w:rStyle w:val="a4"/>
                </w:rPr>
                <w:t>51</w:t>
              </w:r>
            </w:hyperlink>
            <w:r>
              <w:t xml:space="preserve">, </w:t>
            </w:r>
            <w:hyperlink w:anchor="sub_40052" w:history="1">
              <w:r>
                <w:rPr>
                  <w:rStyle w:val="a4"/>
                </w:rPr>
                <w:t>52</w:t>
              </w:r>
            </w:hyperlink>
            <w:r>
              <w:t>].</w:t>
            </w:r>
          </w:p>
        </w:tc>
      </w:tr>
    </w:tbl>
    <w:p w:rsidR="00000000" w:rsidRDefault="00EA582C"/>
    <w:p w:rsidR="00000000" w:rsidRDefault="00EA582C">
      <w:pPr>
        <w:pStyle w:val="1"/>
      </w:pPr>
      <w:bookmarkStart w:id="18" w:name="sub_1900"/>
      <w:r>
        <w:t>Диагностика и дифференциальная диагностика опухолей яичников</w:t>
      </w:r>
    </w:p>
    <w:bookmarkEnd w:id="18"/>
    <w:p w:rsidR="00000000" w:rsidRDefault="00EA582C"/>
    <w:p w:rsidR="00000000" w:rsidRDefault="00EA582C">
      <w:r>
        <w:t>Ключевыми этапами обследования и диагностики образований яичника являются:</w:t>
      </w:r>
    </w:p>
    <w:p w:rsidR="00000000" w:rsidRDefault="00EA582C">
      <w:r>
        <w:t>- Сбор анамнеза - подробный сбор семейного анамнеза для исключ</w:t>
      </w:r>
      <w:r>
        <w:t xml:space="preserve">ения злокачественной патологии является весьма важным, так как в настоящее время эффективных скрининговых программ для выявления рака яичников не разработано </w:t>
      </w:r>
      <w:hyperlink w:anchor="sub_40014" w:history="1">
        <w:r>
          <w:rPr>
            <w:rStyle w:val="a4"/>
          </w:rPr>
          <w:t>[14]</w:t>
        </w:r>
      </w:hyperlink>
      <w:r>
        <w:t>.</w:t>
      </w:r>
    </w:p>
    <w:p w:rsidR="00000000" w:rsidRDefault="00EA582C">
      <w:r>
        <w:t>- Осмотр в зеркалах, бимануальное ректовагинальное исследование.</w:t>
      </w:r>
    </w:p>
    <w:p w:rsidR="00000000" w:rsidRDefault="00EA582C">
      <w:r>
        <w:t>- Бимануальное ректовагинальное обследование позволяет определить размеры опухоли, консистенцию, подвижность, консистенцию опухолевых масс, исследовать дугласово пространство, заднюю поверхность прямой кишки, параметрий и т.д. Однако у пациенток с ИМТ боле</w:t>
      </w:r>
      <w:r>
        <w:t xml:space="preserve">е 30 </w:t>
      </w:r>
      <w:r w:rsidR="00C418BC">
        <w:rPr>
          <w:noProof/>
        </w:rPr>
        <w:drawing>
          <wp:inline distT="0" distB="0" distL="0" distR="0">
            <wp:extent cx="53340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имеет ограничение к применению (уровень доказательности II)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- УЗИ органов малого таза.</w:t>
      </w:r>
    </w:p>
    <w:p w:rsidR="00000000" w:rsidRDefault="00EA582C">
      <w:r>
        <w:t>- Трансвагинальное УЗИ должно использоваться на первичном этапе обследования всех возрастных г</w:t>
      </w:r>
      <w:r>
        <w:t>рупп пациенток, при больших размерах опухоли трансвагинальное УЗИ должно быть дополнено трансабдоминальным УЗИ (категория рекомендаций А) (уровень доказательности II) [</w:t>
      </w:r>
      <w:hyperlink w:anchor="sub_40010" w:history="1">
        <w:r>
          <w:rPr>
            <w:rStyle w:val="a4"/>
          </w:rPr>
          <w:t>10</w:t>
        </w:r>
      </w:hyperlink>
      <w:r>
        <w:t xml:space="preserve">, </w:t>
      </w:r>
      <w:hyperlink w:anchor="sub_40011" w:history="1">
        <w:r>
          <w:rPr>
            <w:rStyle w:val="a4"/>
          </w:rPr>
          <w:t>11</w:t>
        </w:r>
      </w:hyperlink>
      <w:r>
        <w:t>].</w:t>
      </w:r>
    </w:p>
    <w:p w:rsidR="00000000" w:rsidRDefault="00EA582C">
      <w:r>
        <w:t>International Ovarian Tum</w:t>
      </w:r>
      <w:r>
        <w:t>or Analysis (IOTA) Group на основании проведенных рандомизированных исследований разработало ультразвуковые критерии ("В-правило" для доброкачественных опухолей и "М-правило" для опухолей с малигнизацией), чувствительность и специфичность которых достигают</w:t>
      </w:r>
      <w:r>
        <w:t xml:space="preserve"> 95% и 91% соответственно. Система расчета IOTA Group также является высокоэффективной (уровень доказательности I) </w:t>
      </w:r>
      <w:hyperlink w:anchor="sub_40003" w:history="1">
        <w:r>
          <w:rPr>
            <w:rStyle w:val="a4"/>
          </w:rPr>
          <w:t>[3]</w:t>
        </w:r>
      </w:hyperlink>
      <w:r>
        <w:t xml:space="preserve"> (</w:t>
      </w:r>
      <w:hyperlink w:anchor="sub_2" w:history="1">
        <w:r>
          <w:rPr>
            <w:rStyle w:val="a4"/>
          </w:rPr>
          <w:t>таблица 2</w:t>
        </w:r>
      </w:hyperlink>
      <w:r>
        <w:t>).</w:t>
      </w:r>
    </w:p>
    <w:p w:rsidR="00000000" w:rsidRDefault="00EA582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582C">
      <w:pPr>
        <w:pStyle w:val="a6"/>
      </w:pPr>
      <w:r>
        <w:t>Здесь и далее по тексту нумерация приводится в соответствии с исто</w:t>
      </w:r>
      <w:r>
        <w:t>чником</w:t>
      </w:r>
    </w:p>
    <w:p w:rsidR="00000000" w:rsidRDefault="00EA582C">
      <w:pPr>
        <w:pStyle w:val="a6"/>
      </w:pPr>
    </w:p>
    <w:p w:rsidR="00000000" w:rsidRDefault="00EA582C">
      <w:pPr>
        <w:ind w:firstLine="698"/>
        <w:jc w:val="right"/>
      </w:pPr>
      <w:bookmarkStart w:id="19" w:name="sub_2"/>
      <w:r>
        <w:rPr>
          <w:rStyle w:val="a3"/>
        </w:rPr>
        <w:t>Таблица 2</w:t>
      </w:r>
    </w:p>
    <w:bookmarkEnd w:id="19"/>
    <w:p w:rsidR="00000000" w:rsidRDefault="00EA582C"/>
    <w:p w:rsidR="00000000" w:rsidRDefault="00EA582C">
      <w:pPr>
        <w:pStyle w:val="1"/>
      </w:pPr>
      <w:r>
        <w:t xml:space="preserve">УЗ-признаки классификации доброкачественных и злокачественных опухолей (IOTA Group) </w:t>
      </w:r>
      <w:hyperlink w:anchor="sub_40046" w:history="1">
        <w:r>
          <w:rPr>
            <w:rStyle w:val="a4"/>
            <w:b w:val="0"/>
            <w:bCs w:val="0"/>
          </w:rPr>
          <w:t>[46]</w:t>
        </w:r>
      </w:hyperlink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УЗ-признаки доброкачественных опухолей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УЗ-признаки злокачественных опухолей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Однокамерная киста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Участки солидного компонента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Размеры солидного компонента &lt;7 мм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Асцит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Наличие акустических теней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Не менее 4 папиллярных структур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Гладкостенная многокамерная опухоль диаметром &lt;100 мм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Многокамерная опухоль с множественными солидными компонентами размерами &gt;100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Отсутствие кровотока при ЦДК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Сильно выраженный кровоток при ЦДК</w:t>
            </w:r>
          </w:p>
        </w:tc>
      </w:tr>
    </w:tbl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NB! Отсутствие положительной динамики в размерах образования яичников кистозного строения при контрольном уль</w:t>
            </w:r>
            <w:r>
              <w:t>тразвуковом исследовании спустя 4-6 недель наблюдения позволяет установить предварительный клинический диагноз "опухоль яичников" и прибегнуть к углубленному обследованию пациентки для предварительного уточнения характера роста (доброкачественный/злокачест</w:t>
            </w:r>
            <w:r>
              <w:t xml:space="preserve">венный) и исключения его метастатического поражения (категория рекомендаций В) </w:t>
            </w:r>
            <w:hyperlink w:anchor="sub_40006" w:history="1">
              <w:r>
                <w:rPr>
                  <w:rStyle w:val="a4"/>
                </w:rPr>
                <w:t>[6]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 xml:space="preserve">NB! Детский (до начала полового созревания) и постменопаузальный возраст больной позволяет сразу расценить объемное образование яичника кистозного строения как органическую (нефункциональную) патологию (категория рекомендаций В) </w:t>
            </w:r>
            <w:hyperlink w:anchor="sub_40006" w:history="1">
              <w:r>
                <w:rPr>
                  <w:rStyle w:val="a4"/>
                </w:rPr>
                <w:t>[6]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 xml:space="preserve">Доморфологическая дифференциальная диагностика доброкачественной и </w:t>
      </w:r>
      <w:r>
        <w:lastRenderedPageBreak/>
        <w:t>злокачественной опухоли яичников проводится на основании трансвагинальной эхографии и определения онкомаркеров сыворотки крови СА 125 (расчет индекса RMI), или эхографии и совокупног</w:t>
      </w:r>
      <w:r>
        <w:t>о определения СА 125 и НЕ4 с подсчетом индекса ROMA (категория рекомендаций В) [</w:t>
      </w:r>
      <w:hyperlink w:anchor="sub_40006" w:history="1">
        <w:r>
          <w:rPr>
            <w:rStyle w:val="a4"/>
          </w:rPr>
          <w:t>6</w:t>
        </w:r>
      </w:hyperlink>
      <w:r>
        <w:t xml:space="preserve">, </w:t>
      </w:r>
      <w:hyperlink w:anchor="sub_40011" w:history="1">
        <w:r>
          <w:rPr>
            <w:rStyle w:val="a4"/>
          </w:rPr>
          <w:t>11</w:t>
        </w:r>
      </w:hyperlink>
      <w:r>
        <w:t xml:space="preserve">, </w:t>
      </w:r>
      <w:hyperlink w:anchor="sub_40047" w:history="1">
        <w:r>
          <w:rPr>
            <w:rStyle w:val="a4"/>
          </w:rPr>
          <w:t>47</w:t>
        </w:r>
      </w:hyperlink>
      <w:r>
        <w:t xml:space="preserve">, </w:t>
      </w:r>
      <w:hyperlink w:anchor="sub_40048" w:history="1">
        <w:r>
          <w:rPr>
            <w:rStyle w:val="a4"/>
          </w:rPr>
          <w:t>48</w:t>
        </w:r>
      </w:hyperlink>
      <w:r>
        <w:t>].</w:t>
      </w:r>
    </w:p>
    <w:p w:rsidR="00000000" w:rsidRDefault="00EA582C"/>
    <w:p w:rsidR="00000000" w:rsidRDefault="00EA582C">
      <w:pPr>
        <w:pStyle w:val="1"/>
      </w:pPr>
      <w:bookmarkStart w:id="20" w:name="sub_11000"/>
      <w:r>
        <w:t>Определение онкомаркеров</w:t>
      </w:r>
    </w:p>
    <w:bookmarkEnd w:id="20"/>
    <w:p w:rsidR="00000000" w:rsidRDefault="00EA582C"/>
    <w:p w:rsidR="00000000" w:rsidRDefault="00EA582C">
      <w:r>
        <w:t>Большин</w:t>
      </w:r>
      <w:r>
        <w:t>ство биохимических маркеров являются опухоль-ассоциированными, т.е. неспецифическими. Их уровни повышаются лишь при значительном объеме опухолевых масс, распространении процесса, в то время как на ранних стадиях их концентрация обычно не превышает пороговы</w:t>
      </w:r>
      <w:r>
        <w:t>е показатели. Поэтому, для первичной диагностики их использование ограничено.</w:t>
      </w:r>
    </w:p>
    <w:p w:rsidR="00000000" w:rsidRDefault="00EA582C">
      <w:r>
        <w:t xml:space="preserve">У беременных женщин могут быть повышены уровни опухолевых маркеров </w:t>
      </w:r>
      <w:r w:rsidR="00C418BC">
        <w:rPr>
          <w:noProof/>
        </w:rPr>
        <w:drawing>
          <wp:inline distT="0" distB="0" distL="0" distR="0">
            <wp:extent cx="5810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АФП, СА 15-3, SCC и СА125 </w:t>
      </w:r>
      <w:hyperlink w:anchor="sub_40033" w:history="1">
        <w:r>
          <w:rPr>
            <w:rStyle w:val="a4"/>
          </w:rPr>
          <w:t>[33]</w:t>
        </w:r>
      </w:hyperlink>
      <w:r>
        <w:t>.</w:t>
      </w:r>
    </w:p>
    <w:p w:rsidR="00000000" w:rsidRDefault="00EA582C">
      <w:r>
        <w:t>СА 125 - марке</w:t>
      </w:r>
      <w:r>
        <w:t>р злокачественных эпителиальных опухолей яичников и эпителиальных опухолей другой локализации (кишечника, легких, поджелудочной железы, молочной железы).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СА 125 не используется как скрининговый маркер (категория рекомендаций А), так как может повышаться при беременности, эндометриозе, остром панкреатите, циррозе печени, хронических заболеваниях почек, аппендиците, пневмонии, туберкулезе (уровень рекомен</w:t>
            </w:r>
            <w:r>
              <w:t>даций II) [</w:t>
            </w:r>
            <w:hyperlink w:anchor="sub_40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>].</w:t>
            </w:r>
          </w:p>
        </w:tc>
      </w:tr>
    </w:tbl>
    <w:p w:rsidR="00000000" w:rsidRDefault="00EA582C"/>
    <w:p w:rsidR="00000000" w:rsidRDefault="00EA582C">
      <w:r>
        <w:t>Повышение СА 125 до 35 МЕ/мл и выше обнаруживается у 78-100% больных раком яичника (в основном при серозной форме). СА 125 более &gt;65 МЕ/мл выявляется у 50% женщин с первичным раком</w:t>
      </w:r>
      <w:r>
        <w:t xml:space="preserve"> яичников в перименопаузе и у 98% - в постменопаузе (категория рекомендаций А) </w:t>
      </w:r>
      <w:hyperlink w:anchor="sub_40011" w:history="1">
        <w:r>
          <w:rPr>
            <w:rStyle w:val="a4"/>
          </w:rPr>
          <w:t>[11]</w:t>
        </w:r>
      </w:hyperlink>
      <w:r>
        <w:t>. СА 125 коррелирует с величиной опухолевых масс, нормализуясь после радикальной операции и химиотерапии, и повышаясь при рецидиве заболевания. Ус</w:t>
      </w:r>
      <w:r>
        <w:t xml:space="preserve">пешно используется как маркер эффективности химиотерапии, для прогнозирования рецидивов, прогноза выживаемости </w:t>
      </w:r>
      <w:hyperlink w:anchor="sub_40019" w:history="1">
        <w:r>
          <w:rPr>
            <w:rStyle w:val="a4"/>
          </w:rPr>
          <w:t>[19]</w:t>
        </w:r>
      </w:hyperlink>
      <w:r>
        <w:t>.</w:t>
      </w:r>
    </w:p>
    <w:p w:rsidR="00000000" w:rsidRDefault="00EA582C">
      <w:r>
        <w:t>В качестве дополнительного маркера наилучшие результаты были получены в отношении. НЕ4, который более чувствител</w:t>
      </w:r>
      <w:r>
        <w:t>ен и специфичен, чем СА 125 для диагностики рака яичников (73% против 43,3% и 95% против 76,4% соответственно) (уровень рекомендаций II). Однако он повышается при эндометриозе и может быть ложноположительным при доброкачественных опухолях (уровень доказате</w:t>
      </w:r>
      <w:r>
        <w:t>льности II) [</w:t>
      </w:r>
      <w:hyperlink w:anchor="sub_40011" w:history="1">
        <w:r>
          <w:rPr>
            <w:rStyle w:val="a4"/>
          </w:rPr>
          <w:t>11</w:t>
        </w:r>
      </w:hyperlink>
      <w:r>
        <w:t xml:space="preserve">, </w:t>
      </w:r>
      <w:hyperlink w:anchor="sub_40028" w:history="1">
        <w:r>
          <w:rPr>
            <w:rStyle w:val="a4"/>
          </w:rPr>
          <w:t>28</w:t>
        </w:r>
      </w:hyperlink>
      <w:r>
        <w:t>].</w:t>
      </w:r>
    </w:p>
    <w:p w:rsidR="00000000" w:rsidRDefault="00EA582C">
      <w:r>
        <w:t>Онкомаркерами, специфичными для герминогенных опухолей яичника, являются:</w:t>
      </w:r>
    </w:p>
    <w:p w:rsidR="00000000" w:rsidRDefault="00EA582C">
      <w:r>
        <w:t>- хорионический гонадотропин - уровень более 10 000 </w:t>
      </w:r>
      <w:r>
        <w:t>нг/мл свидетельствует о распространенности процесса, плохом прогнозе и наличии в опухоли элементов хориокарциномы;</w:t>
      </w:r>
    </w:p>
    <w:p w:rsidR="00000000" w:rsidRDefault="00EA582C">
      <w:r>
        <w:t>- альфа-фетопротеин - патогномоничен для герминогенных опухолей, особенно для опухолей желточного мешка (эндодермального синуса). Уровень бол</w:t>
      </w:r>
      <w:r>
        <w:t>ее 1 000 нг/л свидетельствует о плохом прогнозе;</w:t>
      </w:r>
    </w:p>
    <w:p w:rsidR="00000000" w:rsidRDefault="00EA582C">
      <w:r>
        <w:t>- лактатдегидрогеназа - специфичный маркер для чистой дисгерминомы (повышается практически в 100% случаев).</w:t>
      </w:r>
    </w:p>
    <w:p w:rsidR="00000000" w:rsidRDefault="00EA582C">
      <w:r>
        <w:t>В настоящее время не доказана польза рутинного исследования дополнительных онкомаркеров: ракового э</w:t>
      </w:r>
      <w:r>
        <w:t xml:space="preserve">мбрионального антигена (РЭА), СА 72-4, СА 19-9, </w:t>
      </w:r>
      <w:r w:rsidR="00C418BC">
        <w:rPr>
          <w:noProof/>
        </w:rPr>
        <w:drawing>
          <wp:inline distT="0" distB="0" distL="0" distR="0">
            <wp:extent cx="15335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(АФП), лактатдегидрогеназы (ЛДГ) и бета-хорионического </w:t>
      </w:r>
      <w:r>
        <w:lastRenderedPageBreak/>
        <w:t>гонадотропина (</w:t>
      </w:r>
      <w:r w:rsidR="00C418BC">
        <w:rPr>
          <w:noProof/>
        </w:rPr>
        <w:drawing>
          <wp:inline distT="0" distB="0" distL="0" distR="0">
            <wp:extent cx="58102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(категория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- Рас</w:t>
      </w:r>
      <w:r>
        <w:t xml:space="preserve">чет IRM (индекс риска малигнизации) должен быть базовой методикой, т.к. его чувствительность и специфичность достигают 70-78% и 87-90% соответственно (категория рекомендаций А) </w:t>
      </w:r>
      <w:hyperlink w:anchor="sub_40033" w:history="1">
        <w:r>
          <w:rPr>
            <w:rStyle w:val="a4"/>
          </w:rPr>
          <w:t>[33]</w:t>
        </w:r>
      </w:hyperlink>
      <w:r>
        <w:t>, в то время как чувствительность и специфичност</w:t>
      </w:r>
      <w:r>
        <w:t>ь определения только уровня СА 125 у пациенток в пери- и постменопаузе не превышает 78% (уровень рекомендаций II). IRM основан на возрасте женщины, данных УЗИ, уровне СА 125. По каждому показателю начисляются баллы (</w:t>
      </w:r>
      <w:hyperlink w:anchor="sub_3" w:history="1">
        <w:r>
          <w:rPr>
            <w:rStyle w:val="a4"/>
          </w:rPr>
          <w:t>таблица 3</w:t>
        </w:r>
      </w:hyperlink>
      <w:r>
        <w:t>). Все б</w:t>
      </w:r>
      <w:r>
        <w:t>аллы и уровень СА 125 умножаются. В норме IRM не превышает 200. Повышение его выше 200 является предиктором развития рака яичников (категория рекомендаций А). Чувствительность и специфичность данного метода оценки риска малигнизации составляют 78% и 87% со</w:t>
      </w:r>
      <w:r>
        <w:t>ответственно (категория рекомендаций А) [</w:t>
      </w:r>
      <w:hyperlink w:anchor="sub_40010" w:history="1">
        <w:r>
          <w:rPr>
            <w:rStyle w:val="a4"/>
          </w:rPr>
          <w:t>10</w:t>
        </w:r>
      </w:hyperlink>
      <w:r>
        <w:t xml:space="preserve">, </w:t>
      </w:r>
      <w:hyperlink w:anchor="sub_40011" w:history="1">
        <w:r>
          <w:rPr>
            <w:rStyle w:val="a4"/>
          </w:rPr>
          <w:t>11</w:t>
        </w:r>
      </w:hyperlink>
      <w:r>
        <w:t>].</w:t>
      </w:r>
    </w:p>
    <w:p w:rsidR="00000000" w:rsidRDefault="00EA582C"/>
    <w:p w:rsidR="00000000" w:rsidRDefault="00EA582C">
      <w:pPr>
        <w:ind w:firstLine="698"/>
        <w:jc w:val="right"/>
      </w:pPr>
      <w:bookmarkStart w:id="21" w:name="sub_3"/>
      <w:r>
        <w:rPr>
          <w:rStyle w:val="a3"/>
        </w:rPr>
        <w:t>Таблица 3</w:t>
      </w:r>
    </w:p>
    <w:bookmarkEnd w:id="21"/>
    <w:p w:rsidR="00000000" w:rsidRDefault="00EA582C"/>
    <w:p w:rsidR="00000000" w:rsidRDefault="00EA582C">
      <w:pPr>
        <w:pStyle w:val="1"/>
      </w:pPr>
      <w:r>
        <w:t>Индекс риска малигнизации для объемных образований</w:t>
      </w:r>
      <w:r>
        <w:br/>
        <w:t>в малом тазу (по Jacobs et al, 1990)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940"/>
        <w:gridCol w:w="33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Признак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Балльная 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Пример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Менопауза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Пременопауза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1 балл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Постменопауза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3 балла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УЗИ данные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Многокамерное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Нет ни одного признака = 0 баллов</w:t>
            </w:r>
          </w:p>
          <w:p w:rsidR="00000000" w:rsidRDefault="00EA582C">
            <w:pPr>
              <w:pStyle w:val="a8"/>
            </w:pPr>
            <w:r>
              <w:t>1 признак = 1 балл</w:t>
            </w:r>
          </w:p>
          <w:p w:rsidR="00000000" w:rsidRDefault="00EA582C">
            <w:pPr>
              <w:pStyle w:val="a8"/>
            </w:pPr>
            <w:r>
              <w:t>2-5 признаков = 3 балла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1 + 1 + 1 =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Солидный компонент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Двухсторонние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Асцит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Метастазы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СА 125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Абсолютное значение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ИРМ = (УЗИ данные) * (менопаузальные данные) * СА-125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3 * 3 * 90 = 810</w:t>
            </w:r>
          </w:p>
        </w:tc>
      </w:tr>
    </w:tbl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Вероятные эхографические признаки злокачественного роста и/или повышенные значения указанных онкомаркеров/индексов, требуют обязательной консультации онкол</w:t>
            </w:r>
            <w:r>
              <w:t>ога для осуществления рациональной маршрутизации больной, а также расширения диагностического поиска (категория рекомендаций В) [</w:t>
            </w:r>
            <w:hyperlink w:anchor="sub_40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>].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Расширенный диагностический поиск подразумевает исключение экстраовариальных злокачественных новообразований, часто метастазирующих в яичники: рака желудка, толстой кишки, молочных желез, эндометрия (категория рекомендаций В) [</w:t>
            </w:r>
            <w:hyperlink w:anchor="sub_40001" w:history="1">
              <w:r>
                <w:rPr>
                  <w:rStyle w:val="a4"/>
                </w:rPr>
                <w:t>1</w:t>
              </w:r>
              <w:r>
                <w:rPr>
                  <w:rStyle w:val="a4"/>
                </w:rPr>
                <w:t>-6</w:t>
              </w:r>
            </w:hyperlink>
            <w:r>
              <w:t>,</w:t>
            </w:r>
            <w:hyperlink w:anchor="sub_40042" w:history="1">
              <w:r>
                <w:rPr>
                  <w:rStyle w:val="a4"/>
                </w:rPr>
                <w:t>42</w:t>
              </w:r>
            </w:hyperlink>
            <w:r>
              <w:t>].</w:t>
            </w:r>
          </w:p>
        </w:tc>
      </w:tr>
    </w:tbl>
    <w:p w:rsidR="00000000" w:rsidRDefault="00EA582C"/>
    <w:p w:rsidR="00000000" w:rsidRDefault="00EA582C">
      <w:r>
        <w:t>Компьютерная томография (КТ), магнитно-резонансная томография (МРТ) и позитронно-эмиссионная томография (ПЭТ-КТ) не рекомендованы для первичного обследования, направленного на выявление опухолей яичников (категория р</w:t>
      </w:r>
      <w:r>
        <w:t>екомендаций В [</w:t>
      </w:r>
      <w:hyperlink w:anchor="sub_40009" w:history="1">
        <w:r>
          <w:rPr>
            <w:rStyle w:val="a4"/>
          </w:rPr>
          <w:t>9</w:t>
        </w:r>
      </w:hyperlink>
      <w:r>
        <w:t xml:space="preserve">,113], категория рекомендаций С) </w:t>
      </w:r>
      <w:hyperlink w:anchor="sub_40010" w:history="1">
        <w:r>
          <w:rPr>
            <w:rStyle w:val="a4"/>
          </w:rPr>
          <w:t>[10]</w:t>
        </w:r>
      </w:hyperlink>
      <w:r>
        <w:t>), однако, при подозрении на злокачественную опухоль рекомендовано проведение КТ брюшной полости и грудной клетки с контрастированием и МРТ брюшной п</w:t>
      </w:r>
      <w:r>
        <w:t xml:space="preserve">олости с контрастированием (категория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МРТ с контрастированием улучшает доморфологическую диагностику рака яичников в большей степени, чем КТ, эхография с ЦДК или МРТ без контрастирования (категория рекоменда</w:t>
      </w:r>
      <w:r>
        <w:t xml:space="preserve">ций В) и показана </w:t>
      </w:r>
      <w:hyperlink w:anchor="sub_40011" w:history="1">
        <w:r>
          <w:rPr>
            <w:rStyle w:val="a4"/>
          </w:rPr>
          <w:t>[11]</w:t>
        </w:r>
      </w:hyperlink>
      <w:r>
        <w:t>:</w:t>
      </w:r>
    </w:p>
    <w:p w:rsidR="00000000" w:rsidRDefault="00EA582C">
      <w:r>
        <w:lastRenderedPageBreak/>
        <w:t>- для уточнения анатомических взаимоотношений исследуемых структур, характера роста опухоли, асцита;</w:t>
      </w:r>
    </w:p>
    <w:p w:rsidR="00000000" w:rsidRDefault="00EA582C">
      <w:r>
        <w:t>- пациенткам, у которых эхография органов малого таза оказалась неинформативной.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Консультация онкол</w:t>
            </w:r>
            <w:r>
              <w:t>ога показана пациенткам при:</w:t>
            </w:r>
          </w:p>
          <w:p w:rsidR="00000000" w:rsidRDefault="00EA582C">
            <w:pPr>
              <w:pStyle w:val="a8"/>
            </w:pPr>
            <w:r>
              <w:t xml:space="preserve">- выявлении предрасполагающих мутаций наследственного рака яичников </w:t>
            </w:r>
            <w:hyperlink w:anchor="sub_40001" w:history="1">
              <w:r>
                <w:rPr>
                  <w:rStyle w:val="a4"/>
                </w:rPr>
                <w:t>[1]</w:t>
              </w:r>
            </w:hyperlink>
            <w:r>
              <w:t>;</w:t>
            </w:r>
          </w:p>
          <w:p w:rsidR="00000000" w:rsidRDefault="00EA582C">
            <w:pPr>
              <w:pStyle w:val="a8"/>
            </w:pPr>
            <w:r>
              <w:t>- высоком риске наследственного рака яичников, согласно сбору семейного анамнеза [</w:t>
            </w:r>
            <w:hyperlink w:anchor="sub_40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>];</w:t>
            </w:r>
          </w:p>
          <w:p w:rsidR="00000000" w:rsidRDefault="00EA582C">
            <w:pPr>
              <w:pStyle w:val="a8"/>
            </w:pPr>
            <w:r>
              <w:t>- высоком риске рака яичников согласно прогностической модели IOTA, RMI, ROMA (категория рекомендаций В) [</w:t>
            </w:r>
            <w:hyperlink w:anchor="sub_40001" w:history="1"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w:anchor="sub_40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40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40045" w:history="1">
              <w:r>
                <w:rPr>
                  <w:rStyle w:val="a4"/>
                </w:rPr>
                <w:t>45-48</w:t>
              </w:r>
            </w:hyperlink>
            <w:r>
              <w:t xml:space="preserve">, </w:t>
            </w:r>
            <w:hyperlink w:anchor="sub_40050" w:history="1">
              <w:r>
                <w:rPr>
                  <w:rStyle w:val="a4"/>
                </w:rPr>
                <w:t>50</w:t>
              </w:r>
            </w:hyperlink>
            <w:r>
              <w:t>];</w:t>
            </w:r>
          </w:p>
          <w:p w:rsidR="00000000" w:rsidRDefault="00EA582C">
            <w:pPr>
              <w:pStyle w:val="a8"/>
            </w:pPr>
            <w:r>
              <w:t>- неподвижных опухолевых массах в малом тазу или билатеральных опухолевых массах плотной или узловатой консистенции у пациенток в постменопаузе (категория достоверности В) [</w:t>
            </w:r>
            <w:hyperlink w:anchor="sub_40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>];</w:t>
            </w:r>
          </w:p>
          <w:p w:rsidR="00000000" w:rsidRDefault="00EA582C">
            <w:pPr>
              <w:pStyle w:val="a8"/>
            </w:pPr>
            <w:r>
              <w:t>- асците (категория рекомендаций В) [</w:t>
            </w:r>
            <w:hyperlink w:anchor="sub_40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>];</w:t>
            </w:r>
          </w:p>
          <w:p w:rsidR="00000000" w:rsidRDefault="00EA582C">
            <w:pPr>
              <w:pStyle w:val="a8"/>
            </w:pPr>
            <w:r>
              <w:t>- подозрении на регионарные или отдаленные метастазы [</w:t>
            </w:r>
            <w:hyperlink w:anchor="sub_40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>].</w:t>
            </w:r>
          </w:p>
        </w:tc>
      </w:tr>
    </w:tbl>
    <w:p w:rsidR="00000000" w:rsidRDefault="00EA582C"/>
    <w:p w:rsidR="00000000" w:rsidRDefault="00EA582C">
      <w:r>
        <w:t>Пу</w:t>
      </w:r>
      <w:r>
        <w:t xml:space="preserve">нкция образования яичника кистозного строения не рекомендована за исключением пациенток с распространенной формой рака яичников при невозможности хирургического лечения для определения гистотипа опухоли перед химиотерапией (категория рекомендаций В) </w:t>
      </w:r>
      <w:hyperlink w:anchor="sub_40011" w:history="1">
        <w:r>
          <w:rPr>
            <w:rStyle w:val="a4"/>
          </w:rPr>
          <w:t>[11]</w:t>
        </w:r>
      </w:hyperlink>
      <w:r>
        <w:t xml:space="preserve">. Аспирационная биопсия содержимого опухоли малоинформативна, ее чувствительность для дифференциальной диагностики </w:t>
      </w:r>
      <w:r>
        <w:t>доброкачественных и злокачественных новообразований яичников не превышает 25% (уровень доказательности I) и категорически не рекомендована при ультразвуковых признаках малигнизации в целях сохранения абластичности (категория рекомендаций В) [11].</w:t>
      </w:r>
    </w:p>
    <w:p w:rsidR="00000000" w:rsidRDefault="00EA582C">
      <w:r>
        <w:t>При диагн</w:t>
      </w:r>
      <w:r>
        <w:t>остической лапароскопии может быть взята биопсия только солидной опухоли со срочным интраоперационным морфологическим исследованием и цитологическим исследованием перитонеальной жидкости. Также рекомендовано интраоперационное цитологическое исследование см</w:t>
      </w:r>
      <w:r>
        <w:t xml:space="preserve">ывов или отпечатков с брюшины (категория рекомендаций В) </w:t>
      </w:r>
      <w:hyperlink w:anchor="sub_40019" w:history="1">
        <w:r>
          <w:rPr>
            <w:rStyle w:val="a4"/>
          </w:rPr>
          <w:t>[19]</w:t>
        </w:r>
      </w:hyperlink>
      <w:r>
        <w:t>.</w:t>
      </w:r>
    </w:p>
    <w:p w:rsidR="00000000" w:rsidRDefault="00EA582C">
      <w:r>
        <w:t>Опухоль больших размеров, потенциально нарушающая пассаж мочи и функцию мочевого пузыря, требует исключения обструкции мочевых путей - ультразвукового исследования ор</w:t>
      </w:r>
      <w:r>
        <w:t>ганов мочевыделительной системы (почек, мочевого пузыря). Выявленные отклонения должны быть интерпретированы урологом.</w:t>
      </w:r>
    </w:p>
    <w:p w:rsidR="00000000" w:rsidRDefault="00EA582C"/>
    <w:p w:rsidR="00000000" w:rsidRDefault="00EA582C">
      <w:pPr>
        <w:pStyle w:val="1"/>
      </w:pPr>
      <w:bookmarkStart w:id="22" w:name="sub_11100"/>
      <w:r>
        <w:t>Лечебно-диагностическая тактика при объемных образованиях придатков матки в различные возрастные периоды</w:t>
      </w:r>
    </w:p>
    <w:bookmarkEnd w:id="22"/>
    <w:p w:rsidR="00000000" w:rsidRDefault="00EA582C"/>
    <w:p w:rsidR="00000000" w:rsidRDefault="00EA582C">
      <w:pPr>
        <w:pStyle w:val="1"/>
      </w:pPr>
      <w:bookmarkStart w:id="23" w:name="sub_11110"/>
      <w:r>
        <w:t>Дет</w:t>
      </w:r>
      <w:r>
        <w:t>ский возраст</w:t>
      </w:r>
    </w:p>
    <w:bookmarkEnd w:id="23"/>
    <w:p w:rsidR="00000000" w:rsidRDefault="00EA582C"/>
    <w:p w:rsidR="00000000" w:rsidRDefault="00EA582C">
      <w:r>
        <w:t xml:space="preserve">Тактика ведения и лечения пациенток с доброкачественными опухолями яичников в детском возрасте отражена в приложении Б, </w:t>
      </w:r>
      <w:hyperlink w:anchor="sub_20600" w:history="1">
        <w:r>
          <w:rPr>
            <w:rStyle w:val="a4"/>
          </w:rPr>
          <w:t>раздел 6</w:t>
        </w:r>
      </w:hyperlink>
      <w:r>
        <w:t xml:space="preserve"> [</w:t>
      </w:r>
      <w:hyperlink w:anchor="sub_40004" w:history="1">
        <w:r>
          <w:rPr>
            <w:rStyle w:val="a4"/>
          </w:rPr>
          <w:t>4</w:t>
        </w:r>
      </w:hyperlink>
      <w:r>
        <w:t xml:space="preserve">, </w:t>
      </w:r>
      <w:hyperlink w:anchor="sub_40005" w:history="1">
        <w:r>
          <w:rPr>
            <w:rStyle w:val="a4"/>
          </w:rPr>
          <w:t>5</w:t>
        </w:r>
      </w:hyperlink>
      <w:r>
        <w:t xml:space="preserve">, </w:t>
      </w:r>
      <w:hyperlink w:anchor="sub_40006" w:history="1">
        <w:r>
          <w:rPr>
            <w:rStyle w:val="a4"/>
          </w:rPr>
          <w:t>6</w:t>
        </w:r>
      </w:hyperlink>
      <w:r>
        <w:t>].</w:t>
      </w:r>
    </w:p>
    <w:p w:rsidR="00000000" w:rsidRDefault="00EA582C"/>
    <w:p w:rsidR="00000000" w:rsidRDefault="00EA582C">
      <w:pPr>
        <w:pStyle w:val="1"/>
      </w:pPr>
      <w:bookmarkStart w:id="24" w:name="sub_11120"/>
      <w:r>
        <w:t>Репродуктивный и пременопаузальный период</w:t>
      </w:r>
    </w:p>
    <w:bookmarkEnd w:id="24"/>
    <w:p w:rsidR="00000000" w:rsidRDefault="00EA582C"/>
    <w:p w:rsidR="00000000" w:rsidRDefault="00EA582C">
      <w:r>
        <w:t xml:space="preserve">В репродуктивном периоде и пременопаузе дифференциальная диагностика функциональных кист яичников и цистаденом осуществляется посредством назначения </w:t>
      </w:r>
      <w:r>
        <w:lastRenderedPageBreak/>
        <w:t>повторного эхографического исс</w:t>
      </w:r>
      <w:r>
        <w:t xml:space="preserve">ледования органов малого таза через 4-6 недель (см. приложение Б, </w:t>
      </w:r>
      <w:hyperlink w:anchor="sub_20700" w:history="1">
        <w:r>
          <w:rPr>
            <w:rStyle w:val="a4"/>
          </w:rPr>
          <w:t>раздел 7</w:t>
        </w:r>
      </w:hyperlink>
      <w:r>
        <w:t xml:space="preserve">) </w:t>
      </w:r>
      <w:hyperlink w:anchor="sub_40006" w:history="1">
        <w:r>
          <w:rPr>
            <w:rStyle w:val="a4"/>
          </w:rPr>
          <w:t>[6]</w:t>
        </w:r>
      </w:hyperlink>
      <w:r>
        <w:t>. Положительная динамика (исчезновение образования яичника кистозного строения или уменьшение его в размерах) свидетельству</w:t>
      </w:r>
      <w:r>
        <w:t>ют в пользу отсутствия опухоли яичников.</w:t>
      </w:r>
    </w:p>
    <w:p w:rsidR="00000000" w:rsidRDefault="00EA582C">
      <w:r>
        <w:t xml:space="preserve">NB! Назначение комбинированных оральных контрацептивов не ускоряет регресс функциональных кист яичников (категория рекомендаций А) </w:t>
      </w:r>
      <w:hyperlink w:anchor="sub_40010" w:history="1">
        <w:r>
          <w:rPr>
            <w:rStyle w:val="a4"/>
          </w:rPr>
          <w:t>[10]</w:t>
        </w:r>
      </w:hyperlink>
      <w:r>
        <w:t>.</w:t>
      </w:r>
    </w:p>
    <w:p w:rsidR="00000000" w:rsidRDefault="00EA582C">
      <w:r>
        <w:t xml:space="preserve">NB! Аспирация содержимого кисты в качестве лечебного метода вагинальным или лапароскопическим доступом ассоциирована с высоким риском рецидива кисты яичника (категория рекомендаций В) </w:t>
      </w:r>
      <w:hyperlink w:anchor="sub_40010" w:history="1">
        <w:r>
          <w:rPr>
            <w:rStyle w:val="a4"/>
          </w:rPr>
          <w:t>[10]</w:t>
        </w:r>
      </w:hyperlink>
      <w:r>
        <w:t>.</w:t>
      </w:r>
    </w:p>
    <w:p w:rsidR="00000000" w:rsidRDefault="00EA582C">
      <w:r>
        <w:t>Подозрение на злокачественный рост, воз</w:t>
      </w:r>
      <w:r>
        <w:t>никшее на основании анализа клинических, лабораторных и эхографических данных (высокий риск злокачественного процесса) требует консультации онколога, который определяет дальнейшую маршрутизацию пациентки.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NB! В случае отсутствия показаний для госпитализац</w:t>
            </w:r>
            <w:r>
              <w:t>ии в стационар онкологического профиля, установленных онкологом, пациентка может быть госпитализирована в стационар гинекологического профиля.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Методом лечения опухолей яичников является хирургический.</w:t>
            </w:r>
          </w:p>
        </w:tc>
      </w:tr>
    </w:tbl>
    <w:p w:rsidR="00000000" w:rsidRDefault="00EA582C"/>
    <w:p w:rsidR="00000000" w:rsidRDefault="00EA582C">
      <w:r>
        <w:t>В репродуктивном периоде (18-44 </w:t>
      </w:r>
      <w:r>
        <w:t>года) предпочтение отдается эндоскопическому доступу (лапароскопии) и органопластическому объему операции (резекция яичников или цистэктомия).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Лапароскопический доступ является методом выбора для ДОЯ без клинических, лабораторных и эхографических приз</w:t>
            </w:r>
            <w:r>
              <w:t xml:space="preserve">наков малигнизации (категория рекомендаций А) </w:t>
            </w:r>
            <w:hyperlink w:anchor="sub_40010" w:history="1">
              <w:r>
                <w:rPr>
                  <w:rStyle w:val="a4"/>
                </w:rPr>
                <w:t>[10]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 xml:space="preserve">Однако при наличии солидного компонента, в ряде случаев, целесообразно рассмотреть лапаротомный доступ (категория рекомендаций С) </w:t>
      </w:r>
      <w:hyperlink w:anchor="sub_40010" w:history="1">
        <w:r>
          <w:rPr>
            <w:rStyle w:val="a4"/>
          </w:rPr>
          <w:t>[10]</w:t>
        </w:r>
      </w:hyperlink>
      <w:r>
        <w:t>. При отсутств</w:t>
      </w:r>
      <w:r>
        <w:t>ии условий (локализация, размер опухоли) возможно выполнение односторонней овариоэктомии или односторонней аднексэктомии (синоним - сальпингоовариоэктомия) на стороне поражения. Интраоперационно проводят пункцию опухоли с помощью аспирационной системы со с</w:t>
      </w:r>
      <w:r>
        <w:t>трогим соблюдением правил абластичности и минимальным лаважом с последующим эндоскопическим осмотром внутренней поверхности капсулы.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NB! Серозный характер содержимого и отсутствие папиллярного компонента являются основанием для отказа от интраоперационног</w:t>
            </w:r>
            <w:r>
              <w:t xml:space="preserve">о цитологического исследования перитонеальной жидкости, биопсии контрлатерального яичника и резекции большого сальника (категория рекомендаций В) </w:t>
            </w:r>
            <w:hyperlink w:anchor="sub_40032" w:history="1">
              <w:r>
                <w:rPr>
                  <w:rStyle w:val="a4"/>
                </w:rPr>
                <w:t>[32]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 xml:space="preserve">NB! Малейшие сомнения, возникающие при макроскопической оценке опухоли, являются показанием для срочного цитологического исследования перитонеальной жидкости, перитонеальных смывов и гистологического исследования опухоли </w:t>
            </w:r>
            <w:hyperlink w:anchor="sub_40032" w:history="1">
              <w:r>
                <w:rPr>
                  <w:rStyle w:val="a4"/>
                </w:rPr>
                <w:t>[32]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 xml:space="preserve">Удаление макропрепарата во время лапароскопии должно проводиться в эндоскопическом контейнере через пупочный троакар или влагалищный свод </w:t>
      </w:r>
      <w:hyperlink w:anchor="sub_40010" w:history="1">
        <w:r>
          <w:rPr>
            <w:rStyle w:val="a4"/>
          </w:rPr>
          <w:t>[10]</w:t>
        </w:r>
      </w:hyperlink>
      <w:r>
        <w:t xml:space="preserve">, морцелляция макропрепарата не допускается </w:t>
      </w:r>
      <w:hyperlink w:anchor="sub_40004" w:history="1">
        <w:r>
          <w:rPr>
            <w:rStyle w:val="a4"/>
          </w:rPr>
          <w:t>[4]</w:t>
        </w:r>
      </w:hyperlink>
      <w:r>
        <w:t>.</w:t>
      </w:r>
    </w:p>
    <w:p w:rsidR="00000000" w:rsidRDefault="00EA582C">
      <w:r>
        <w:t>Наличие имп</w:t>
      </w:r>
      <w:r>
        <w:t xml:space="preserve">лантов на брюшине свидетельствует в пользу пограничной или </w:t>
      </w:r>
      <w:r>
        <w:lastRenderedPageBreak/>
        <w:t xml:space="preserve">злокачественной опухоли, однако, выполнение радикального объема операции (пангистерэктомии, резекции большого сальника (англ. - infracolicomentectomy) у женщин репродуктивного возраста рационально </w:t>
      </w:r>
      <w:r>
        <w:t>проводить при наличии данных развернутого морфологического исследования (морфологической верификации диагноза), подтверждающего рак яичников, так как срочная гистологическая диагностика на замороженных срезах фрагментов опухоли не обладает 100% чувствитель</w:t>
      </w:r>
      <w:r>
        <w:t>ностью (категория рекомендаций В). Чувствительность и прогностическая значимость срочного гистологического исследования фрагментов опухолей яичников составляет 71,1% и 84,3% соответственно; гипердиагностика отмечена в 6,6%, гиподиагностика в 30,6% наблюден</w:t>
      </w:r>
      <w:r>
        <w:t xml:space="preserve">ий </w:t>
      </w:r>
      <w:hyperlink w:anchor="sub_40004" w:history="1">
        <w:r>
          <w:rPr>
            <w:rStyle w:val="a4"/>
          </w:rPr>
          <w:t>[4]</w:t>
        </w:r>
      </w:hyperlink>
      <w:r>
        <w:t>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В репродуктивном возрасте объемом оперативного лечения при подозрении на пограничную опухоль яичников или ранний рак яичников является аднексэктомия, резекция контрлатерального яичника, резекция большого сальника, би</w:t>
            </w:r>
            <w:r>
              <w:t xml:space="preserve">опсия имплантов, сопровождающиеся аспирацией перитонеальной жидкости и перитонеальными смывами из всех этажей брюшной полости с полным стадированием опухоли (категория рекомендаций В) </w:t>
            </w:r>
            <w:hyperlink w:anchor="sub_40036" w:history="1">
              <w:r>
                <w:rPr>
                  <w:rStyle w:val="a4"/>
                </w:rPr>
                <w:t>[36]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>При подозрении на малигнизацию опухол</w:t>
      </w:r>
      <w:r>
        <w:t xml:space="preserve">и пункционная биопсия опухоли не допускается </w:t>
      </w:r>
      <w:hyperlink w:anchor="sub_40032" w:history="1">
        <w:r>
          <w:rPr>
            <w:rStyle w:val="a4"/>
          </w:rPr>
          <w:t>[32]</w:t>
        </w:r>
      </w:hyperlink>
      <w:r>
        <w:t xml:space="preserve">. У 15% пациенток с серозными опухолями стадии Iа при проведении односторонней аднексэктомии в дальнейшем развивается пограничная опухоль второго яичника </w:t>
      </w:r>
      <w:hyperlink w:anchor="sub_40036" w:history="1">
        <w:r>
          <w:rPr>
            <w:rStyle w:val="a4"/>
          </w:rPr>
          <w:t>[3</w:t>
        </w:r>
        <w:r>
          <w:rPr>
            <w:rStyle w:val="a4"/>
          </w:rPr>
          <w:t>6]</w:t>
        </w:r>
      </w:hyperlink>
      <w:r>
        <w:t>. Цистэктомия без оофорэктомии проводится в исключительных случаях у пациенток с I стадией опухоли при возможности ее полного радикального удаления [36].</w:t>
      </w:r>
    </w:p>
    <w:p w:rsidR="00000000" w:rsidRDefault="00EA582C">
      <w:r>
        <w:t>При операциях по поводу муцинозных цистаденом яичников необходимо помнить о возможности метастази</w:t>
      </w:r>
      <w:r>
        <w:t>рования высокодифференцированной муцинозной аденокарциномы аппендикса в яичники. Первичная опухоль аппендикса ввиду малых размеров может быть не диагностирована на дооперационном этапе.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Муцинозная цистоаденома яичников требует проведения срочного гист</w:t>
            </w:r>
            <w:r>
              <w:t xml:space="preserve">ологического исследования опухоли для решения вопроса о выполнении аппендэктомии </w:t>
            </w:r>
            <w:hyperlink w:anchor="sub_40005" w:history="1">
              <w:r>
                <w:rPr>
                  <w:rStyle w:val="a4"/>
                </w:rPr>
                <w:t>[5]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 xml:space="preserve">Перед оперативным вмешательством по поводу ДОЯ пациентка репродуктивного возраста должна быть обязательно информирована о возможной аднексэктомии с резекцией контрлатерального яичника </w:t>
      </w:r>
      <w:hyperlink w:anchor="sub_40035" w:history="1">
        <w:r>
          <w:rPr>
            <w:rStyle w:val="a4"/>
          </w:rPr>
          <w:t>[35]</w:t>
        </w:r>
      </w:hyperlink>
      <w:r>
        <w:t>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NB! Оптимальным объемом хирургического</w:t>
            </w:r>
            <w:r>
              <w:t xml:space="preserve"> лечения пациенток пременопаузального и постменопаузального возраста с опухолью яичников низкого риска (ДОЯ), согласно совокупной оценке анамнестических, эхографических, лабораторных и интраоперационных макроскопических характеристик является двусторонняя </w:t>
            </w:r>
            <w:r>
              <w:t>аднексэктомия (двусторонняя сальпингоофорэктомия) [</w:t>
            </w:r>
            <w:hyperlink w:anchor="sub_40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40011" w:history="1">
              <w:r>
                <w:rPr>
                  <w:rStyle w:val="a4"/>
                </w:rPr>
                <w:t>11</w:t>
              </w:r>
            </w:hyperlink>
            <w:r>
              <w:t>].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Оптимальным объемом хирургического лечения пациенток пременопаузального и постменопаузального возраста с опухолью яичников умеренного и высокого риска, согласно совокупной оценке анамнестических, эхографических, лабораторных и интраоперационных макроск</w:t>
            </w:r>
            <w:r>
              <w:t>опических характеристик является пангистерэктомия, резекция большого сальника, интраоперационное стадирование процесса [</w:t>
            </w:r>
            <w:hyperlink w:anchor="sub_4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40021" w:history="1">
              <w:r>
                <w:rPr>
                  <w:rStyle w:val="a4"/>
                </w:rPr>
                <w:t>21</w:t>
              </w:r>
            </w:hyperlink>
            <w:r>
              <w:t xml:space="preserve">, </w:t>
            </w:r>
            <w:hyperlink w:anchor="sub_40036" w:history="1">
              <w:r>
                <w:rPr>
                  <w:rStyle w:val="a4"/>
                </w:rPr>
                <w:t>36</w:t>
              </w:r>
            </w:hyperlink>
            <w:r>
              <w:t>].</w:t>
            </w:r>
          </w:p>
        </w:tc>
      </w:tr>
    </w:tbl>
    <w:p w:rsidR="00000000" w:rsidRDefault="00EA582C"/>
    <w:p w:rsidR="00000000" w:rsidRDefault="00EA582C">
      <w:r>
        <w:t>Ретроперитонеальная лимфодиссекция (удал</w:t>
      </w:r>
      <w:r>
        <w:t xml:space="preserve">ения блоком лимфоузлов, начиная от стенок таза до уровня почечных вен) не является стандартным элементом хирургического лечения женщин с подозрением на рак яичников и вероятным </w:t>
      </w:r>
      <w:r>
        <w:lastRenderedPageBreak/>
        <w:t>интраоперационным стадированием I (заболевание ограничено яичниками) (категория</w:t>
      </w:r>
      <w:r>
        <w:t xml:space="preserve"> рекомендаций В) </w:t>
      </w:r>
      <w:hyperlink w:anchor="sub_40050" w:history="1">
        <w:r>
          <w:rPr>
            <w:rStyle w:val="a4"/>
          </w:rPr>
          <w:t>[50]</w:t>
        </w:r>
      </w:hyperlink>
      <w:r>
        <w:t>.</w:t>
      </w:r>
    </w:p>
    <w:p w:rsidR="00000000" w:rsidRDefault="00EA582C"/>
    <w:p w:rsidR="00000000" w:rsidRDefault="00EA582C">
      <w:pPr>
        <w:pStyle w:val="1"/>
      </w:pPr>
      <w:bookmarkStart w:id="25" w:name="sub_11130"/>
      <w:r>
        <w:t>Постменопаузальный период</w:t>
      </w:r>
    </w:p>
    <w:bookmarkEnd w:id="25"/>
    <w:p w:rsidR="00000000" w:rsidRDefault="00EA582C"/>
    <w:p w:rsidR="00000000" w:rsidRDefault="00EA582C">
      <w:r>
        <w:t xml:space="preserve">Врачи должны быть осведомлены о возможности развития и значении кист яичников у женщины в постменопаузе (GPP, хорошая клиническая практика)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У женщин в постменопаузе, имеющих острую боль в животе, следует исключать диагноз осложненной опухоли яичника (например, перекрут, разрыв кисты, кровоизлияние) (GPP, хорошая клиническая практика)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У постменопаузальных женщин с впервые выявленными объемными образованиями яичников кистозного строения первоначально необходимо определить содержание СА 125 в крови и провести трансвагинальную эхографию органов малого таза (уровень убедительности реком</w:t>
            </w:r>
            <w:r>
              <w:t xml:space="preserve">ендаций А) </w:t>
            </w:r>
            <w:hyperlink w:anchor="sub_40011" w:history="1">
              <w:r>
                <w:rPr>
                  <w:rStyle w:val="a4"/>
                </w:rPr>
                <w:t>[11]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>Роль анамнеза и клинического обследования у женщин в постменопаузе с кистами яичников</w:t>
      </w:r>
    </w:p>
    <w:p w:rsidR="00000000" w:rsidRDefault="00EA582C">
      <w:r>
        <w:t>Необходимо тщательно собрать анамнез жизни и болезни женщины, обратив особое внимание на факторы риска (см. "Группы риска"), неспецифические симптомы рака яичников, семейный анамнез рака яичников, кишечника или молочной железы (уровень убедительности реком</w:t>
      </w:r>
      <w:r>
        <w:t xml:space="preserve">ендаций D)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При наличии отягощенного семейного анамнеза, пациентке следует предложить пройти генетическое исследование (GPP, хорошая клиническая практика)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Соответствующие обследования должны </w:t>
      </w:r>
      <w:r>
        <w:t>проводиться всем женщинам в постменопаузе, которые в течение последних 12 месяцев отмечают неспецифические симптомы (раздраженного кишечника, диспепсии и др., указанных выше), особенно пациенткам старше 50 лет, с отягощенным семейным анамнезом рака яичнико</w:t>
      </w:r>
      <w:r>
        <w:t xml:space="preserve">в, кишечника или молочной железы (уровень убедительности рекомендаций С)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Физикальное обследование женщины имеет важное значение и должно включать: оценку индекса массы тела, исследование живота для выявления асцита и пальпи</w:t>
      </w:r>
      <w:r>
        <w:t xml:space="preserve">руемых в яичниках образований, вагинальное обследование (уровень убедительности рекомендаций С)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Уровень СА 125 сыворотки крови не является специфическим тестом и критерием злокачественности опухоли, его нормальное значение </w:t>
      </w:r>
      <w:r>
        <w:t xml:space="preserve">не исключает рак яичников! Этот маркер используется только в совокупности с другими показателями для расчета индекса риска малигнизации (RMI) кисты яичников у женщин в постменопаузе (уровень 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В</w:t>
      </w:r>
      <w:r>
        <w:t xml:space="preserve"> настоящее время нет достаточных доказательств в поддержку рутинного клинического использования других онкомаркеров, таких как НЕ4, РЭА, CDX2, СА72-4, СА-19-9, АФП, ЛДГ или бета-ХГЧ, для оценки риска развития злокачественных новообразований яичника в постм</w:t>
      </w:r>
      <w:r>
        <w:t xml:space="preserve">енопаузе (уровень 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/>
    <w:p w:rsidR="00000000" w:rsidRDefault="00EA582C">
      <w:pPr>
        <w:pStyle w:val="1"/>
      </w:pPr>
      <w:bookmarkStart w:id="26" w:name="sub_11131"/>
      <w:r>
        <w:t>Роль ультразвукового сканирования</w:t>
      </w:r>
    </w:p>
    <w:bookmarkEnd w:id="26"/>
    <w:p w:rsidR="00000000" w:rsidRDefault="00EA582C"/>
    <w:p w:rsidR="00000000" w:rsidRDefault="00EA582C">
      <w:r>
        <w:t>Трансвагинальное УЗИ органов малого таза является единственным наиболее эффективным способом оценки кисты яичников в пос</w:t>
      </w:r>
      <w:r>
        <w:t xml:space="preserve">тменопаузе (уровень </w:t>
      </w:r>
      <w:r>
        <w:lastRenderedPageBreak/>
        <w:t xml:space="preserve">убедительности рекомендаций 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Трансабдоминальное УЗИ не следует использовать изолированно! Оно должно дополнить информацию по трансвагинальному УЗИ, особенно когда киста яичника большая или находится за</w:t>
      </w:r>
      <w:r>
        <w:t xml:space="preserve"> пределами поля зрения трансвагинального УЗИ (уровень убедительности рекомендаций 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При трансвагинальном сканировании должно быть особенно четко документировано описание структуры образования в яичнике, чтобы произвести ра</w:t>
      </w:r>
      <w:r>
        <w:t xml:space="preserve">счет риска злокачественности образования (уровень убедительности рекомендаций 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Трансвагинальное УЗИ должно проводиться с использованием многочастотных зондов квалифицированными врачами, имеющими знания и опыт проведения и</w:t>
      </w:r>
      <w:r>
        <w:t xml:space="preserve">сследований гинекологических пациенток (уровень убедительности рекомендаций С)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/>
    <w:p w:rsidR="00000000" w:rsidRDefault="00EA582C">
      <w:pPr>
        <w:pStyle w:val="1"/>
      </w:pPr>
      <w:bookmarkStart w:id="27" w:name="sub_11132"/>
      <w:r>
        <w:t>Роль допплеровских и трехмерных ультразвуковых исследований</w:t>
      </w:r>
    </w:p>
    <w:bookmarkEnd w:id="27"/>
    <w:p w:rsidR="00000000" w:rsidRDefault="00EA582C"/>
    <w:p w:rsidR="00000000" w:rsidRDefault="00EA582C">
      <w:r>
        <w:t>Цветовые допплеровские исследования не рекомендуются для рутинно</w:t>
      </w:r>
      <w:r>
        <w:t xml:space="preserve">й первоначальной оценки кист яичников в постменопаузе (уровень убедительности рекомендаций С)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Спектральные и импульсные индексы допплера не повышают точность дифференциальной диагностики доброкачественных и злокачественных </w:t>
      </w:r>
      <w:r>
        <w:t xml:space="preserve">кист яичников по сравнению с оценкой структуры с помощью УЗИ (уровень 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Не рекомендуется рутинное применение трехмерного УЗИ, поскольку не улучшает диагностику кист яичника в постменопаузе (уров</w:t>
      </w:r>
      <w:r>
        <w:t xml:space="preserve">ень 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/>
    <w:p w:rsidR="00000000" w:rsidRDefault="00EA582C">
      <w:pPr>
        <w:pStyle w:val="1"/>
      </w:pPr>
      <w:bookmarkStart w:id="28" w:name="sub_11133"/>
      <w:r>
        <w:t>Роль компьютерной томографии (КТ) и магнитно-резонансной томографии (МРТ)</w:t>
      </w:r>
    </w:p>
    <w:bookmarkEnd w:id="28"/>
    <w:p w:rsidR="00000000" w:rsidRDefault="00EA582C"/>
    <w:p w:rsidR="00000000" w:rsidRDefault="00EA582C">
      <w:r>
        <w:t>КТ, МРТ и позитронно-эмиссионная томография (ПЭТ) - КТ сканирование не рекомендуются для перви</w:t>
      </w:r>
      <w:r>
        <w:t xml:space="preserve">чной оценки кист яичников в постменопаузе из-за низкой специфичности и лучевой нагрузки (уровень 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Если злокачественное заболевание заподозрено по клинической картине, УЗИ и онкомаркерам, необхо</w:t>
      </w:r>
      <w:r>
        <w:t xml:space="preserve">димо выполнить КТ брюшной полости и малого таза с последующей оценкой многопрофильной командой специалистов (уровень 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МРТ следует использовать в качестве метода визуализации второй линии, если </w:t>
      </w:r>
      <w:r>
        <w:t xml:space="preserve">характеристики кисты яичников при УЗИ неопределенны и неубедительны (уровень 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ПЭТ-КТ сканирование не имеет явных преимуществ перед трансвагинальным УЗИ (уровень убедительности рекомендаций С)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/>
    <w:p w:rsidR="00000000" w:rsidRDefault="00EA582C">
      <w:pPr>
        <w:pStyle w:val="1"/>
      </w:pPr>
      <w:bookmarkStart w:id="29" w:name="sub_11134"/>
      <w:r>
        <w:t>Оценка риска злокачественности новообразований</w:t>
      </w:r>
    </w:p>
    <w:bookmarkEnd w:id="29"/>
    <w:p w:rsidR="00000000" w:rsidRDefault="00EA582C"/>
    <w:p w:rsidR="00000000" w:rsidRDefault="00EA582C">
      <w:r>
        <w:t xml:space="preserve">- Расчет индекса риска малигнизации (RMI) - широко используемый, наиболее доступный и проверенный эффективный метод отбора </w:t>
      </w:r>
      <w:r>
        <w:t xml:space="preserve">женщин с подозрением на рак яичников (уровень убедительности рекомендаций 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Прогноз вероятности рака яичников по RMI I: при пороге 200 - чувствительность 78%, специфичность 87%; при пороге 250 чувствительность ниже - 70%, </w:t>
      </w:r>
      <w:r>
        <w:t xml:space="preserve">но </w:t>
      </w:r>
      <w:r>
        <w:lastRenderedPageBreak/>
        <w:t xml:space="preserve">специфичность более высокая - 90% (уровень убедительности рекомендаций 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КТ брюшной полости и органов малого таза следует проводить всем женщинам в постменопаузе с кистами яичников с величиной </w:t>
      </w:r>
      <w:r w:rsidR="00C418BC">
        <w:rPr>
          <w:noProof/>
        </w:rPr>
        <w:drawing>
          <wp:inline distT="0" distB="0" distL="0" distR="0">
            <wp:extent cx="10287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с последующим направлением к гинекологам-онкологам (уровень 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- Ультразвуковые признаки злокачественности в соответствии с рекомендациями международной системы анализа IOTA </w:t>
      </w:r>
      <w:hyperlink w:anchor="sub_40046" w:history="1">
        <w:r>
          <w:rPr>
            <w:rStyle w:val="a4"/>
          </w:rPr>
          <w:t>[46]</w:t>
        </w:r>
      </w:hyperlink>
      <w:r>
        <w:t xml:space="preserve"> являются альтернативным методом для дифференциальной диагностики доброкачественных и злокачественных опухолей яичников (уровень убедительности рекомендаций 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/>
    <w:p w:rsidR="00000000" w:rsidRDefault="00EA582C">
      <w:pPr>
        <w:pStyle w:val="1"/>
      </w:pPr>
      <w:bookmarkStart w:id="30" w:name="sub_11200"/>
      <w:r>
        <w:t xml:space="preserve">Тактика ведения кист яичников в </w:t>
      </w:r>
      <w:r>
        <w:t>постменопаузе</w:t>
      </w:r>
    </w:p>
    <w:bookmarkEnd w:id="30"/>
    <w:p w:rsidR="00000000" w:rsidRDefault="00EA582C"/>
    <w:p w:rsidR="00000000" w:rsidRDefault="00EA582C">
      <w:r>
        <w:t>1. Оценить, есть ли показания к хирургическому лечению.</w:t>
      </w:r>
    </w:p>
    <w:p w:rsidR="00000000" w:rsidRDefault="00EA582C">
      <w:r>
        <w:t>2. Бессимптомные, простые, односторонние, однокамерные кисты яичников диаметром менее 5 см имеют низкий риск злокачественной опухоли. При нормальных уровнях СА 125 сыворотки кр</w:t>
      </w:r>
      <w:r>
        <w:t xml:space="preserve">ови тактика ведения консервативная, с повторным обследованием через 4-6 месяцев. Если через 1 год киста остается неизменной или уменьшается в размере, уровень СА 125 нормальный, возможно наблюдение 1 раз в год, однако следует принять во внимание пожелания </w:t>
      </w:r>
      <w:r>
        <w:t xml:space="preserve">пациентки и степень хирургического риска (уровень убедительности рекомендаций D)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3. Если у женщины имеются симптомы заболевания, подозрительное или сложное образование в придатках необходимо дальнейшее хирургическое обследо</w:t>
      </w:r>
      <w:r>
        <w:t xml:space="preserve">вание (GPP, хорошая клиническая практика)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4. Аспирация не рекомендуется для лечения кист яичников у женщин в постменопаузе, за исключением купирования симптомов, когда имеется высокий операционный риск (уровень убедительнос</w:t>
      </w:r>
      <w:r>
        <w:t xml:space="preserve">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5. Лапароскопия</w:t>
      </w:r>
    </w:p>
    <w:p w:rsidR="00000000" w:rsidRDefault="00EA582C">
      <w:r>
        <w:t xml:space="preserve">- Лапароскопия может быть выполнена женщинам с RMI I менее 200 (т.е. с низким риском малигнизации) (уровень 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 xml:space="preserve">- Лапароскопическое лечение кисты яичников у женщин в постменопаузе должен проводить хирург с соответствующим опытом (GPP, хорошая клиническая практика)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- При лапароскопическом вмешательстве по поводу кист яичников у женщин</w:t>
      </w:r>
      <w:r>
        <w:t xml:space="preserve"> в постменопаузе должна быть выполнена сальпинг-оофорэктомия, а не цистэктомия (уровень убедительности рекомендаций С)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- Женщины, подвергающиеся лапароскопической сальпинг-оофорэктомии, должны быть проинформированы, что мож</w:t>
      </w:r>
      <w:r>
        <w:t xml:space="preserve">ет потребоваться лапаротомия, если будет выявлено злокачественное образование (GPP, хорошая клиническая практика)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- Удаленный макропрепарат, по возможности, следует извлекать без вскрытия, поместив в контейнер и удалив чере</w:t>
      </w:r>
      <w:r>
        <w:t xml:space="preserve">з пуповинный порт. Это приводит к уменьшению времени извлечения и послеоперационной боли по сравнению с использованием боковых разрезов того же размера. Трансвагинальное извлечение образца также приемлемо, если хирург имеет соответствующий доступ (уровень </w:t>
      </w:r>
      <w:r>
        <w:t xml:space="preserve">убедительности рекомендаций В)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t>6. Лапаротомия</w:t>
      </w:r>
    </w:p>
    <w:p w:rsidR="00000000" w:rsidRDefault="00EA582C">
      <w:r>
        <w:t xml:space="preserve">- У женщин в постменопаузе показана лапаротомия при всех кистах яичников с подозрением на малигнизацию, на что указывает RMI I </w:t>
      </w:r>
      <w:r w:rsidR="00C418BC">
        <w:rPr>
          <w:noProof/>
        </w:rPr>
        <w:drawing>
          <wp:inline distT="0" distB="0" distL="0" distR="0">
            <wp:extent cx="2286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200, результат</w:t>
      </w:r>
      <w:r>
        <w:t xml:space="preserve">ы КТ, клиническая оценка или результаты лапароскопии (уровень убедительности рекомендаций D)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>
      <w:r>
        <w:lastRenderedPageBreak/>
        <w:t xml:space="preserve">- Если при лапароскопии или последующей гистологии обнаруживается злокачественное новообразование, женщине показано направление в </w:t>
      </w:r>
      <w:r>
        <w:t xml:space="preserve">онкологический центр для дальнейшего лечения (GPP, хорошая клиническая практика) </w:t>
      </w:r>
      <w:hyperlink w:anchor="sub_40011" w:history="1">
        <w:r>
          <w:rPr>
            <w:rStyle w:val="a4"/>
          </w:rPr>
          <w:t>[11]</w:t>
        </w:r>
      </w:hyperlink>
      <w:r>
        <w:t>.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NB! Стадирование опухоли осуществляется при:</w:t>
            </w:r>
          </w:p>
          <w:p w:rsidR="00000000" w:rsidRDefault="00EA582C">
            <w:pPr>
              <w:pStyle w:val="a8"/>
            </w:pPr>
            <w:r>
              <w:t>- макроскопическом подозрении на малигнизацию опухоли (т.е. пограничных и злокачественных опухол</w:t>
            </w:r>
            <w:r>
              <w:t>ях яичников);</w:t>
            </w:r>
          </w:p>
          <w:p w:rsidR="00000000" w:rsidRDefault="00EA582C">
            <w:pPr>
              <w:pStyle w:val="a8"/>
            </w:pPr>
            <w:r>
              <w:t>- наличии асцита;</w:t>
            </w:r>
          </w:p>
          <w:p w:rsidR="00000000" w:rsidRDefault="00EA582C">
            <w:pPr>
              <w:pStyle w:val="a8"/>
            </w:pPr>
            <w:r>
              <w:t xml:space="preserve">- подтверждении морфологического диагноза злокачественной опухоли при интраоперационном гистологическом исследовании </w:t>
            </w:r>
            <w:hyperlink w:anchor="sub_40019" w:history="1">
              <w:r>
                <w:rPr>
                  <w:rStyle w:val="a4"/>
                </w:rPr>
                <w:t>[19]</w:t>
              </w:r>
            </w:hyperlink>
            <w:r>
              <w:t>.</w:t>
            </w:r>
          </w:p>
        </w:tc>
      </w:tr>
    </w:tbl>
    <w:p w:rsidR="00000000" w:rsidRDefault="00EA582C"/>
    <w:p w:rsidR="00000000" w:rsidRDefault="00EA582C">
      <w:r>
        <w:t xml:space="preserve">Выделяют следующие этапы интраоперационного стадирования </w:t>
      </w:r>
      <w:hyperlink w:anchor="sub_40019" w:history="1">
        <w:r>
          <w:rPr>
            <w:rStyle w:val="a4"/>
          </w:rPr>
          <w:t>[19]</w:t>
        </w:r>
      </w:hyperlink>
      <w:r>
        <w:t>:</w:t>
      </w:r>
    </w:p>
    <w:p w:rsidR="00000000" w:rsidRDefault="00EA582C">
      <w:r>
        <w:t>1. В операционную должен быть вызван онколог (при его наличии в штате).</w:t>
      </w:r>
    </w:p>
    <w:p w:rsidR="00000000" w:rsidRDefault="00EA582C">
      <w:r>
        <w:t>2. Проведение срочного гистологического исследования.</w:t>
      </w:r>
    </w:p>
    <w:p w:rsidR="00000000" w:rsidRDefault="00EA582C">
      <w:r>
        <w:t>3. При асците - аспирация асцитической жидкости для цитологического исследования. При отсутствии асцита выпо</w:t>
      </w:r>
      <w:r>
        <w:t>лняют цитологическое исследование мазков/смывов с брюшины (в том числе с ее диафрагмальной поверхности, латеральных каналов и малого таза).</w:t>
      </w:r>
    </w:p>
    <w:p w:rsidR="00000000" w:rsidRDefault="00EA582C">
      <w:r>
        <w:t>4. Все отделы брюшной полости, включая поддиафрагмальное пространство, сальник, тонкую и толстую кишку и их брыжейку</w:t>
      </w:r>
      <w:r>
        <w:t>, поверхность париетальной и висцеральной брюшины, забрюшинное пространство, тщательно и методично осматривают, все подозрительные участки подвергают биопсии. Вся поверхность брюшины должна быть осмотрена. Спаечный процесс, препятствующий ревизии, должен б</w:t>
      </w:r>
      <w:r>
        <w:t>ыть отмечен.</w:t>
      </w:r>
    </w:p>
    <w:p w:rsidR="00000000" w:rsidRDefault="00EA582C">
      <w:r>
        <w:t>5. Если проведенный осмотр не подтвердил наличие метастазов, выборочно выполняют биопсию неизмененной брюшины боковых поверхностей малого таза, прямокишечно-маточного углубления, мочевого пузыря, латеральных каналов, а также правого и левого к</w:t>
      </w:r>
      <w:r>
        <w:t>уполов диафрагмы.</w:t>
      </w:r>
    </w:p>
    <w:p w:rsidR="00000000" w:rsidRDefault="00EA582C">
      <w:r>
        <w:t>6. Резекция большого сальника.</w:t>
      </w:r>
    </w:p>
    <w:p w:rsidR="00000000" w:rsidRDefault="00EA582C">
      <w:r>
        <w:t>7. Удаление аппендикса - при муцинозном раке и в случае подозрения на его поражение.</w:t>
      </w:r>
    </w:p>
    <w:p w:rsidR="00000000" w:rsidRDefault="00EA582C"/>
    <w:p w:rsidR="00000000" w:rsidRDefault="00EA582C">
      <w:pPr>
        <w:pStyle w:val="1"/>
      </w:pPr>
      <w:bookmarkStart w:id="31" w:name="sub_11300"/>
      <w:r>
        <w:t>Тактика ведения и лечения пациенток с доброкачественными опухолями яичников во время беременности</w:t>
      </w:r>
    </w:p>
    <w:bookmarkEnd w:id="31"/>
    <w:p w:rsidR="00000000" w:rsidRDefault="00EA582C"/>
    <w:p w:rsidR="00000000" w:rsidRDefault="00EA582C">
      <w:r>
        <w:t>Част</w:t>
      </w:r>
      <w:r>
        <w:t xml:space="preserve">ота встречаемости ДОЯ во время беременности составляет 2% </w:t>
      </w:r>
      <w:hyperlink w:anchor="sub_40014" w:history="1">
        <w:r>
          <w:rPr>
            <w:rStyle w:val="a4"/>
          </w:rPr>
          <w:t>[14]</w:t>
        </w:r>
      </w:hyperlink>
      <w:r>
        <w:t>. Большинство из этих образований обнаруживаются в течение первого триместра и представляют собой функциональные кисты, которые самостоятельно регрессируют во втором т</w:t>
      </w:r>
      <w:r>
        <w:t>риместре беременности. У беременных спонтанно регрессируют около 80-95% кист яичников размерами &lt;6 см в диаметре [14].</w:t>
      </w:r>
    </w:p>
    <w:p w:rsidR="00000000" w:rsidRDefault="00EA582C">
      <w:r>
        <w:t>Ведение пациенток с объемными образованиями придатков матки, выявленными в I триместре, определяется клинико-анамнестическими и эхографич</w:t>
      </w:r>
      <w:r>
        <w:t>ескими данными. Наиболее часто эти яичниковые образования кистозного строения в I триместре представлены кистой желтого тела, которая регрессирует самостоятельно. При отсутствии положительной динамики диагностируется опухоль яичников, которая в большинстве</w:t>
      </w:r>
      <w:r>
        <w:t xml:space="preserve"> случаев является зрелой тератомой или серозной цистаденомой (уровень убедительности рекомендаций В) </w:t>
      </w:r>
      <w:hyperlink w:anchor="sub_40025" w:history="1">
        <w:r>
          <w:rPr>
            <w:rStyle w:val="a4"/>
          </w:rPr>
          <w:t>[25]</w:t>
        </w:r>
      </w:hyperlink>
      <w:r>
        <w:t>. ОЯ, персистирующие на протяжении беременности, чаще всего являются функциональными кистами с очень низкой частотой озлокач</w:t>
      </w:r>
      <w:r>
        <w:t xml:space="preserve">ествления или зрелыми кистозными тератомами с частотой </w:t>
      </w:r>
      <w:r>
        <w:lastRenderedPageBreak/>
        <w:t xml:space="preserve">малигнизации от 2% до 6% </w:t>
      </w:r>
      <w:hyperlink w:anchor="sub_40014" w:history="1">
        <w:r>
          <w:rPr>
            <w:rStyle w:val="a4"/>
          </w:rPr>
          <w:t>[14]</w:t>
        </w:r>
      </w:hyperlink>
      <w:r>
        <w:t>.</w:t>
      </w:r>
    </w:p>
    <w:p w:rsidR="00000000" w:rsidRDefault="00EA582C"/>
    <w:p w:rsidR="00000000" w:rsidRDefault="00EA582C">
      <w:pPr>
        <w:pStyle w:val="1"/>
      </w:pPr>
      <w:bookmarkStart w:id="32" w:name="sub_11310"/>
      <w:r>
        <w:t>Диагностика</w:t>
      </w:r>
    </w:p>
    <w:bookmarkEnd w:id="32"/>
    <w:p w:rsidR="00000000" w:rsidRDefault="00EA582C"/>
    <w:p w:rsidR="00000000" w:rsidRDefault="00EA582C">
      <w:r>
        <w:t>УЗИ является безопасным и приемлемым методом для диагностирования причин острой абдоминальной боли у беременных</w:t>
      </w:r>
      <w:r>
        <w:t xml:space="preserve"> (уровень убедительности рекомендаций А) [</w:t>
      </w:r>
      <w:hyperlink w:anchor="sub_40013" w:history="1">
        <w:r>
          <w:rPr>
            <w:rStyle w:val="a4"/>
          </w:rPr>
          <w:t>13</w:t>
        </w:r>
      </w:hyperlink>
      <w:r>
        <w:t xml:space="preserve">, </w:t>
      </w:r>
      <w:hyperlink w:anchor="sub_40014" w:history="1">
        <w:r>
          <w:rPr>
            <w:rStyle w:val="a4"/>
          </w:rPr>
          <w:t>14</w:t>
        </w:r>
      </w:hyperlink>
      <w:r>
        <w:t>]. В зависимости от срока гестации, в ряде случаев целесообразно проведение абдоминального УЗИ в виду смещения опухоли за пределы малого таза беременной м</w:t>
      </w:r>
      <w:r>
        <w:t>аткой. При необходимости и по показаниям, на основании решения консилиума врачей, могут быть использованы КТ и MPT без контрастирования (уровень убедительности рекомендаций С) [</w:t>
      </w:r>
      <w:hyperlink w:anchor="sub_40013" w:history="1">
        <w:r>
          <w:rPr>
            <w:rStyle w:val="a4"/>
          </w:rPr>
          <w:t>13</w:t>
        </w:r>
      </w:hyperlink>
      <w:r>
        <w:t xml:space="preserve">, </w:t>
      </w:r>
      <w:hyperlink w:anchor="sub_40014" w:history="1">
        <w:r>
          <w:rPr>
            <w:rStyle w:val="a4"/>
          </w:rPr>
          <w:t>14</w:t>
        </w:r>
      </w:hyperlink>
      <w:r>
        <w:t>].</w:t>
      </w:r>
    </w:p>
    <w:p w:rsidR="00000000" w:rsidRDefault="00EA582C">
      <w:r>
        <w:t>Исследования уро</w:t>
      </w:r>
      <w:r>
        <w:t>вня СА 125 нецелесообразны, т.к. его уровень повышен на протяжении всей беременности (уровень убедительности рекомендаций В) [</w:t>
      </w:r>
      <w:hyperlink w:anchor="sub_40033" w:history="1">
        <w:r>
          <w:rPr>
            <w:rStyle w:val="a4"/>
          </w:rPr>
          <w:t>33</w:t>
        </w:r>
      </w:hyperlink>
      <w:r>
        <w:t xml:space="preserve">, </w:t>
      </w:r>
      <w:hyperlink w:anchor="sub_40034" w:history="1">
        <w:r>
          <w:rPr>
            <w:rStyle w:val="a4"/>
          </w:rPr>
          <w:t>34</w:t>
        </w:r>
      </w:hyperlink>
      <w:r>
        <w:t>].</w:t>
      </w:r>
    </w:p>
    <w:p w:rsidR="00000000" w:rsidRDefault="00EA582C"/>
    <w:p w:rsidR="00000000" w:rsidRDefault="00EA582C">
      <w:pPr>
        <w:pStyle w:val="1"/>
      </w:pPr>
      <w:bookmarkStart w:id="33" w:name="sub_11320"/>
      <w:r>
        <w:t>Лечение</w:t>
      </w:r>
    </w:p>
    <w:bookmarkEnd w:id="33"/>
    <w:p w:rsidR="00000000" w:rsidRDefault="00EA582C"/>
    <w:p w:rsidR="00000000" w:rsidRDefault="00EA582C">
      <w:r>
        <w:t>Лечебная тактика при ДОЯ, диагностированной во время беременности, определяется ее сроком и наличием/отсутствием клинических симптомов.</w:t>
      </w:r>
    </w:p>
    <w:p w:rsidR="00000000" w:rsidRDefault="00EA582C">
      <w:r>
        <w:t>Частота осложнений (перекрут придатков матки; разрыв, нарушение питания, нагноение опухоли) во время беременности не пре</w:t>
      </w:r>
      <w:r>
        <w:t>вышает 2%. Однако необходимо учитывать, что опухоль яичников может служить причиной механического препятствия в родах [</w:t>
      </w:r>
      <w:hyperlink w:anchor="sub_40007" w:history="1">
        <w:r>
          <w:rPr>
            <w:rStyle w:val="a4"/>
          </w:rPr>
          <w:t>7</w:t>
        </w:r>
      </w:hyperlink>
      <w:r>
        <w:t xml:space="preserve">, </w:t>
      </w:r>
      <w:hyperlink w:anchor="sub_40043" w:history="1">
        <w:r>
          <w:rPr>
            <w:rStyle w:val="a4"/>
          </w:rPr>
          <w:t>43</w:t>
        </w:r>
      </w:hyperlink>
      <w:r>
        <w:t>].</w:t>
      </w:r>
    </w:p>
    <w:p w:rsidR="00000000" w:rsidRDefault="00EA582C">
      <w:r>
        <w:t>Лапароскопия - предпочтительный (уровень убедительности рекомендаций А), бе</w:t>
      </w:r>
      <w:r>
        <w:t xml:space="preserve">зопасный и эффективный метод лечения пациенток с симптомными ДОЯ, который приемлем при условии, что при ультразвуке не выявлено признаков злокачественных новообразований </w:t>
      </w:r>
      <w:hyperlink w:anchor="sub_40014" w:history="1">
        <w:r>
          <w:rPr>
            <w:rStyle w:val="a4"/>
          </w:rPr>
          <w:t>[14]</w:t>
        </w:r>
      </w:hyperlink>
      <w:r>
        <w:t>.</w:t>
      </w:r>
    </w:p>
    <w:p w:rsidR="00000000" w:rsidRDefault="00EA582C">
      <w:r>
        <w:t>Данный вид оперативного вмешательства у беременных до</w:t>
      </w:r>
      <w:r>
        <w:t xml:space="preserve">лжен выполняться опытным врачом в учреждении 3-го уровня. В периоперационном периоде необходимо проводить мониторинг сердцебиения плода (уровень убедительности рекомендаций С) </w:t>
      </w:r>
      <w:hyperlink w:anchor="sub_40014" w:history="1">
        <w:r>
          <w:rPr>
            <w:rStyle w:val="a4"/>
          </w:rPr>
          <w:t>[14]</w:t>
        </w:r>
      </w:hyperlink>
      <w:r>
        <w:t>. Оперативное вмешательство при беременности може</w:t>
      </w:r>
      <w:r>
        <w:t xml:space="preserve">т осложнять ее последующее течение. Однако, исходы беременности после планового хирургического лечения ДОЯ, лучше, чем выполненного в экстренном порядке в связи с развитием осложнений (уровень убедительности рекомендаций С) </w:t>
      </w:r>
      <w:hyperlink w:anchor="sub_40008" w:history="1">
        <w:r>
          <w:rPr>
            <w:rStyle w:val="a4"/>
          </w:rPr>
          <w:t>[8]</w:t>
        </w:r>
      </w:hyperlink>
      <w:r>
        <w:t>.</w:t>
      </w:r>
    </w:p>
    <w:p w:rsidR="00000000" w:rsidRDefault="00EA582C">
      <w:r>
        <w:t>Опасения по поводу злокачественного потенциала и рисков, связанных с экстренной хирургией, привели к плановому удалению опухолей яичников, которые сохраняются после 16 недель и размерами &gt;6 см в диаметре (уровень убедительности рекомендаций А) [</w:t>
      </w:r>
      <w:hyperlink w:anchor="sub_40014" w:history="1">
        <w:r>
          <w:rPr>
            <w:rStyle w:val="a4"/>
          </w:rPr>
          <w:t>14</w:t>
        </w:r>
      </w:hyperlink>
      <w:r>
        <w:t xml:space="preserve">, </w:t>
      </w:r>
      <w:hyperlink w:anchor="sub_40025" w:history="1">
        <w:r>
          <w:rPr>
            <w:rStyle w:val="a4"/>
          </w:rPr>
          <w:t>25</w:t>
        </w:r>
      </w:hyperlink>
      <w:r>
        <w:t xml:space="preserve">, </w:t>
      </w:r>
      <w:hyperlink w:anchor="sub_40043" w:history="1">
        <w:r>
          <w:rPr>
            <w:rStyle w:val="a4"/>
          </w:rPr>
          <w:t>43</w:t>
        </w:r>
      </w:hyperlink>
      <w:r>
        <w:t>]. Последние публикации подтверждают безопасность наблюдения таких пациенток, если при УЗИ нет признаков малигнизации, и заболевание протекает бессимптомно [14, 43].</w:t>
      </w:r>
    </w:p>
    <w:p w:rsidR="00000000" w:rsidRDefault="00EA582C">
      <w:r>
        <w:t xml:space="preserve">Показания </w:t>
      </w:r>
      <w:r>
        <w:t xml:space="preserve">к лапароскопической операции у беременных с ДОЯ </w:t>
      </w:r>
      <w:hyperlink w:anchor="sub_40043" w:history="1">
        <w:r>
          <w:rPr>
            <w:rStyle w:val="a4"/>
          </w:rPr>
          <w:t>[43]</w:t>
        </w:r>
      </w:hyperlink>
      <w:r>
        <w:t>:</w:t>
      </w:r>
    </w:p>
    <w:p w:rsidR="00000000" w:rsidRDefault="00EA582C">
      <w:r>
        <w:t>- отсутствие признаков малигнизации;</w:t>
      </w:r>
    </w:p>
    <w:p w:rsidR="00000000" w:rsidRDefault="00EA582C">
      <w:r>
        <w:t>- размеры опухоли не более 10-12 см;</w:t>
      </w:r>
    </w:p>
    <w:p w:rsidR="00000000" w:rsidRDefault="00EA582C">
      <w:r>
        <w:t>- двусторонняя локализация опухолей;</w:t>
      </w:r>
    </w:p>
    <w:p w:rsidR="00000000" w:rsidRDefault="00EA582C">
      <w:r>
        <w:t>- подвижные опухоли с высоким риском перекрута придатков матки в</w:t>
      </w:r>
      <w:r>
        <w:t>о время и после родов;</w:t>
      </w:r>
    </w:p>
    <w:p w:rsidR="00000000" w:rsidRDefault="00EA582C">
      <w:r>
        <w:t>- высокий риск разрыва капсулы опухоли по мере прогрессирования беременности при неподвижных опухолях.</w:t>
      </w:r>
    </w:p>
    <w:p w:rsidR="00000000" w:rsidRDefault="00EA582C">
      <w:r>
        <w:t>Противопоказания к лапароскопии при ДОЯ во время беременности</w:t>
      </w:r>
    </w:p>
    <w:p w:rsidR="00000000" w:rsidRDefault="00EA582C">
      <w:r>
        <w:lastRenderedPageBreak/>
        <w:t>Абсолютные</w:t>
      </w:r>
    </w:p>
    <w:p w:rsidR="00000000" w:rsidRDefault="00EA582C">
      <w:r>
        <w:t>- большие размеры опухоли (более 12 см);</w:t>
      </w:r>
    </w:p>
    <w:p w:rsidR="00000000" w:rsidRDefault="00EA582C">
      <w:r>
        <w:t>- срок беременно</w:t>
      </w:r>
      <w:r>
        <w:t>сти более 18 недель;</w:t>
      </w:r>
    </w:p>
    <w:p w:rsidR="00000000" w:rsidRDefault="00EA582C">
      <w:r>
        <w:t>- признаки малигнизации.</w:t>
      </w:r>
    </w:p>
    <w:p w:rsidR="00000000" w:rsidRDefault="00EA582C">
      <w:r>
        <w:t>Относительные</w:t>
      </w:r>
    </w:p>
    <w:p w:rsidR="00000000" w:rsidRDefault="00EA582C">
      <w:r>
        <w:t>- ожирение III-IV степени;</w:t>
      </w:r>
    </w:p>
    <w:p w:rsidR="00000000" w:rsidRDefault="00EA582C">
      <w:r>
        <w:t>- спаечный процесс в брюшной полости и малом тазу.</w:t>
      </w:r>
    </w:p>
    <w:p w:rsidR="00000000" w:rsidRDefault="00EA582C">
      <w:r>
        <w:t>Техника операции</w:t>
      </w:r>
    </w:p>
    <w:p w:rsidR="00000000" w:rsidRDefault="00EA582C">
      <w:r>
        <w:t>Вход в брюшную полость может быть выполнен как открытым доступом, так и с помощью иглы Вереша, или не</w:t>
      </w:r>
      <w:r>
        <w:t xml:space="preserve">посредственно оптическим троакаром под визуальным контролем (уровень убедительности рекомендаций С) </w:t>
      </w:r>
      <w:hyperlink w:anchor="sub_40014" w:history="1">
        <w:r>
          <w:rPr>
            <w:rStyle w:val="a4"/>
          </w:rPr>
          <w:t>[14]</w:t>
        </w:r>
      </w:hyperlink>
      <w:r>
        <w:t xml:space="preserve">. Инсуффляция проводится газом </w:t>
      </w:r>
      <w:r w:rsidR="00C418BC">
        <w:rPr>
          <w:noProof/>
        </w:rPr>
        <w:drawing>
          <wp:inline distT="0" distB="0" distL="0" distR="0">
            <wp:extent cx="428625" cy="304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под давлением 10-15 мм рт. ст. предпочтительно не более 12</w:t>
      </w:r>
      <w:r>
        <w:t> мм рт. ст.) (уровень убедительности рекомендаций С) [14]. Объем оперативного лечения обычно включает энуклеацию кисты, овариоэктомию или аднексэктомию.</w:t>
      </w:r>
    </w:p>
    <w:p w:rsidR="00000000" w:rsidRDefault="00EA582C">
      <w:r>
        <w:t>Послеоперационный период</w:t>
      </w:r>
    </w:p>
    <w:p w:rsidR="00000000" w:rsidRDefault="00EA582C">
      <w:r>
        <w:t>У беременных необходима интра- и послеоперационная пневмокомпрессия ног для пр</w:t>
      </w:r>
      <w:r>
        <w:t xml:space="preserve">офилактики венозных тромботических осложнений в послеоперационный период (категория достоверности С) </w:t>
      </w:r>
      <w:hyperlink w:anchor="sub_40014" w:history="1">
        <w:r>
          <w:rPr>
            <w:rStyle w:val="a4"/>
          </w:rPr>
          <w:t>[14]</w:t>
        </w:r>
      </w:hyperlink>
      <w:r>
        <w:t>. Фармакологическая профилактика ВТЭО назначается на основании оценки индивидуального риска в соответствии с действующими кл</w:t>
      </w:r>
      <w:r>
        <w:t>иническими рекомендациями и порядками оказания медицинской помощи. Послеоперационный период должен вестись совместно с акушером (категория достоверности А) [14]. При возникновении угрозы прерывания беременности в сроки до 22 недель или преждевременных родо</w:t>
      </w:r>
      <w:r>
        <w:t>в проводится лечение, соответственно порядкам оказания медицинской помощи и соответствующим клиническим рекомендациям.</w:t>
      </w:r>
    </w:p>
    <w:p w:rsidR="00000000" w:rsidRDefault="00EA582C"/>
    <w:p w:rsidR="00000000" w:rsidRDefault="00EA582C">
      <w:pPr>
        <w:pStyle w:val="1"/>
      </w:pPr>
      <w:bookmarkStart w:id="34" w:name="sub_11330"/>
      <w:r>
        <w:t>Профилактика</w:t>
      </w:r>
    </w:p>
    <w:bookmarkEnd w:id="34"/>
    <w:p w:rsidR="00000000" w:rsidRDefault="00EA582C"/>
    <w:p w:rsidR="00000000" w:rsidRDefault="00EA582C">
      <w:r>
        <w:t>Женщинам, планирующим беременность, необходимо посетить врача акушера-гинеколога, сделать УЗИ органов ма</w:t>
      </w:r>
      <w:r>
        <w:t xml:space="preserve">лого таза и при выявлении опухоли яичника провести лечение до наступления беременности </w:t>
      </w:r>
      <w:hyperlink w:anchor="sub_40043" w:history="1">
        <w:r>
          <w:rPr>
            <w:rStyle w:val="a4"/>
          </w:rPr>
          <w:t>[43]</w:t>
        </w:r>
      </w:hyperlink>
      <w:r>
        <w:t>.</w:t>
      </w:r>
    </w:p>
    <w:p w:rsidR="00000000" w:rsidRDefault="00EA582C"/>
    <w:p w:rsidR="00000000" w:rsidRDefault="00EA582C">
      <w:pPr>
        <w:pStyle w:val="1"/>
      </w:pPr>
      <w:bookmarkStart w:id="35" w:name="sub_11400"/>
      <w:r>
        <w:t>Критерии оценки качества медицинской помощи</w:t>
      </w:r>
    </w:p>
    <w:bookmarkEnd w:id="35"/>
    <w:p w:rsidR="00000000" w:rsidRDefault="00EA582C"/>
    <w:p w:rsidR="00000000" w:rsidRDefault="00EA582C">
      <w:r>
        <w:t xml:space="preserve">Критерии качества специализированной медицинской помощи взрослым при доброкачественном новообразовании яичника (код по МКБ-10: D27) </w:t>
      </w:r>
      <w:hyperlink w:anchor="sub_40054" w:history="1">
        <w:r>
          <w:rPr>
            <w:rStyle w:val="a4"/>
          </w:rPr>
          <w:t>[54]</w:t>
        </w:r>
      </w:hyperlink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9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1.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Выполнен осмотр врачом акушером-гинекологом н</w:t>
            </w:r>
            <w:r>
              <w:t>е позднее 1 часа от момента поступления в стационар (при симптомах острого живота)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2.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Выполнен общий (клинический) анализ крови развернутый не позднее 2 часов от момента поступления в стационар (при симптомах острого живота)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3.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Выполнено исследование уровня хорионического гонадотропина человека (бета-субъединица) в крови не позднее 1 часа от момента поступления в стационар (при симптомах острого живота)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Выполнено ультразвуковое исследование матки и придатков трансвагин</w:t>
            </w:r>
            <w:r>
              <w:t>альное не позднее 1 часа от момента поступления в стационар (при симптомах острого живота)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5.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</w:t>
            </w:r>
            <w:r>
              <w:t>едицинских противопоказаний)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Проведена консервативная терапия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7.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8.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9.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Отсутствие гнойно-септических осложнений в период г</w:t>
            </w:r>
            <w:r>
              <w:t>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EA582C"/>
    <w:p w:rsidR="00000000" w:rsidRDefault="00EA582C">
      <w:r>
        <w:t>Временные критерии качества</w:t>
      </w:r>
    </w:p>
    <w:p w:rsidR="00000000" w:rsidRDefault="00EA582C">
      <w:r>
        <w:t>- Проведение скрининга рака яичников пациенткам группы риска (да/нет).</w:t>
      </w:r>
    </w:p>
    <w:p w:rsidR="00000000" w:rsidRDefault="00EA582C">
      <w:r>
        <w:t>- Ежегодное диспансерное наблюдение женщин с доброкачественными заболеваниями яичников (да/нет).</w:t>
      </w:r>
    </w:p>
    <w:p w:rsidR="00000000" w:rsidRDefault="00EA582C">
      <w:r>
        <w:t>Результативные критерии качества</w:t>
      </w:r>
    </w:p>
    <w:p w:rsidR="00000000" w:rsidRDefault="00EA582C">
      <w:r>
        <w:t>Отсутствие прогрессии доброкачественных ОЯ в рак яичников.</w:t>
      </w:r>
    </w:p>
    <w:p w:rsidR="00000000" w:rsidRDefault="00EA582C"/>
    <w:p w:rsidR="00000000" w:rsidRDefault="00EA582C">
      <w:pPr>
        <w:ind w:firstLine="698"/>
        <w:jc w:val="right"/>
      </w:pPr>
      <w:bookmarkStart w:id="36" w:name="sub_10000"/>
      <w:r>
        <w:rPr>
          <w:rStyle w:val="a3"/>
        </w:rPr>
        <w:t>Приложение А1</w:t>
      </w:r>
    </w:p>
    <w:bookmarkEnd w:id="36"/>
    <w:p w:rsidR="00000000" w:rsidRDefault="00EA582C"/>
    <w:p w:rsidR="00000000" w:rsidRDefault="00EA582C">
      <w:pPr>
        <w:pStyle w:val="1"/>
      </w:pPr>
      <w:r>
        <w:t>Состав рабочей группы</w:t>
      </w:r>
    </w:p>
    <w:p w:rsidR="00000000" w:rsidRDefault="00EA582C"/>
    <w:p w:rsidR="00000000" w:rsidRDefault="00EA582C">
      <w:r>
        <w:t>Адамян Лейла Владимировна - заместитель директора ФГБУ "Национальный медицинский исследовательский центр акушерства, гинекологии и перинатол</w:t>
      </w:r>
      <w:r>
        <w:t>огии имени академика В.И. Кулакова" Минздрава России, главный внештатный акушер-гинеколог Минздрава России, академик РАН, профессор. Конфликт интересов отсутствует.</w:t>
      </w:r>
    </w:p>
    <w:p w:rsidR="00000000" w:rsidRDefault="00EA582C">
      <w:r>
        <w:t>Андреева Елена Николаевна - заместитель директора ФГБУ "Национальный медицинский исследоват</w:t>
      </w:r>
      <w:r>
        <w:t>ельский центр эндокринологии" Минздрава России - директор института репродуктивной медицины, профессор кафедры эндокринологии Института высшего и постдипломного образования ФГБУ "Национальный медицинский исследовательский центр эндокринологии" Минздрава Ро</w:t>
      </w:r>
      <w:r>
        <w:t>ссии, профессор кафедры репродуктивной медицины и хирургии ФГБОУ ВО "Московский государственный медико-стоматологический университет имени А.И. Евдокимова" Минздрава России, доктор медицинских наук;</w:t>
      </w:r>
    </w:p>
    <w:p w:rsidR="00000000" w:rsidRDefault="00EA582C">
      <w:r>
        <w:t>Артымук Наталья Владимировна - заведующая кафедрой акушер</w:t>
      </w:r>
      <w:r>
        <w:t>ства и гинекологии N 2 ФГБОУ ВО "Кемеровский государственный медицинский университет" Минздрава России, д.м.н., профессор, главный внештатный специалист Минздрава России по акушерству и гинекологии в Сибирском федеральном округе, член правления Российского</w:t>
      </w:r>
      <w:r>
        <w:t xml:space="preserve"> общества акушеров-гинекологов, президент КРОО "Ассоциация акушеров-гинекологов Кузбасса";</w:t>
      </w:r>
    </w:p>
    <w:p w:rsidR="00000000" w:rsidRDefault="00EA582C">
      <w:r>
        <w:t xml:space="preserve">Асатурова Александра Вячеславовна - старший научный сотрудник патологоанатомического отделения ФГБУ "Национальный медицинский </w:t>
      </w:r>
      <w:r>
        <w:lastRenderedPageBreak/>
        <w:t>исследовательский центр акушерства, гин</w:t>
      </w:r>
      <w:r>
        <w:t>екологии и перинатологии имени академика В.И. Кулакова" Минздрава России, кандидат медицинских наук;</w:t>
      </w:r>
    </w:p>
    <w:p w:rsidR="00000000" w:rsidRDefault="00EA582C">
      <w:r>
        <w:t>Ашрафян Лев Андреевич - заместитель директора ФГБУ "Национальный медицинский исследовательский центр акушерства, гинекологии и перинатологии имени академик</w:t>
      </w:r>
      <w:r>
        <w:t>а В.И. Кулакова" Минздрава России - директор института онкогинекологии и маммологии, академик РАН, доктор медицинских наук, профессор;</w:t>
      </w:r>
    </w:p>
    <w:p w:rsidR="00000000" w:rsidRDefault="00EA582C">
      <w:r>
        <w:t>Белокриницкая Татьяна Евгеньевна - заведующая кафедрой акушерства и гинекологии ФПК и ППС ФГБОУ ВО "Читинская государстве</w:t>
      </w:r>
      <w:r>
        <w:t>нная медицинская академия" Минздрава России, д.м.н., профессор, заслуженный врач Российской Федерации, член Правления Российского общества акушеров-гинекологов, Член совета Ассоциации акушерских анестезиологов-реаниматологов, президент Забайкальского общес</w:t>
      </w:r>
      <w:r>
        <w:t>тва акушеров-гинекологов;</w:t>
      </w:r>
    </w:p>
    <w:p w:rsidR="00000000" w:rsidRDefault="00EA582C">
      <w:r>
        <w:t>Долгушина Наталия Витальевна - руководитель службы научно-организационного обеспечения ФГБУ "Национальный медицинский исследовательский центр акушерства, гинекологии и перинатологии имени академика В.И. Кулакова" Минз</w:t>
      </w:r>
      <w:r>
        <w:t>драва России, доктор медицинских наук, доцент;</w:t>
      </w:r>
    </w:p>
    <w:p w:rsidR="00000000" w:rsidRDefault="00EA582C">
      <w:r>
        <w:t>Жордания Кирилл Иосифович - профессор ФГБУ "Национальный медицинский исследовательский центр онкологии имени Н.Н. Блохина" Минздрава России, председатель Общества специалистов онкологов по опухолям органов реп</w:t>
      </w:r>
      <w:r>
        <w:t>родуктивной системы, профессор кафедры репродуктивной медицины и хирургии ФППОВ ФГБОУ ВО "Московский государственный медико-стоматологический университет имени А.И. Евдокимова" Минздрава России, академик РАН, доктор медицинских наук, профессор;</w:t>
      </w:r>
    </w:p>
    <w:p w:rsidR="00000000" w:rsidRDefault="00EA582C">
      <w:r>
        <w:t>Смольнова Т</w:t>
      </w:r>
      <w:r>
        <w:t>атьяна Юрьевна - доцент кафедры репродуктивной медицины и хирургии ФППОВ ФГБОУ ВО "Московский государственный медико-стоматологический университет имени А.И. Евдокимова" Минздрава России; старший научный сотрудник ФГБУ "Национальный медицинский исследовате</w:t>
      </w:r>
      <w:r>
        <w:t>льский центр акушерства, гинекологии и перинатологии имени академика В.И. Кулакова" Минздрава России, доктор медицинских наук;</w:t>
      </w:r>
    </w:p>
    <w:p w:rsidR="00000000" w:rsidRDefault="00EA582C">
      <w:r>
        <w:t>Станоевич Ирина Васильевна - заведующая отделением оперативной</w:t>
      </w:r>
      <w:hyperlink r:id="rId25" w:history="1">
        <w:r>
          <w:rPr>
            <w:rStyle w:val="a4"/>
            <w:shd w:val="clear" w:color="auto" w:fill="F0F0F0"/>
          </w:rPr>
          <w:t>#</w:t>
        </w:r>
      </w:hyperlink>
      <w:r>
        <w:t xml:space="preserve"> Института высшего и постдиплом</w:t>
      </w:r>
      <w:r>
        <w:t>ного образования ФГБУ "Национальный медицинский исследовательский центр эндокринологии" Минздрава России, доктор медицинских наук, доцент;</w:t>
      </w:r>
    </w:p>
    <w:p w:rsidR="00000000" w:rsidRDefault="00EA582C">
      <w:r>
        <w:t>Филиппов Олег Семенович - заслуженный врач Российской Федерации, доктор медицинских наук, профессор, заместитель дире</w:t>
      </w:r>
      <w:r>
        <w:t>ктора Департамента медицинской помощи детям и службы родовспоможения Минздрава России, профессор кафедры акушерства и гинекологии ФППОВ ФГБОУ ВО "Московский государственный медико-стоматологический университет имени А.И. Евдокимова" Минздрава России.</w:t>
      </w:r>
    </w:p>
    <w:p w:rsidR="00000000" w:rsidRDefault="00EA582C"/>
    <w:p w:rsidR="00000000" w:rsidRDefault="00EA582C">
      <w:pPr>
        <w:ind w:firstLine="698"/>
        <w:jc w:val="right"/>
      </w:pPr>
      <w:bookmarkStart w:id="37" w:name="sub_12000"/>
      <w:r>
        <w:rPr>
          <w:rStyle w:val="a3"/>
        </w:rPr>
        <w:t>Приложение А2</w:t>
      </w:r>
    </w:p>
    <w:bookmarkEnd w:id="37"/>
    <w:p w:rsidR="00000000" w:rsidRDefault="00EA582C"/>
    <w:p w:rsidR="00000000" w:rsidRDefault="00EA582C">
      <w:pPr>
        <w:pStyle w:val="1"/>
      </w:pPr>
      <w:r>
        <w:t>Методология разработки клинических рекомендаций</w:t>
      </w:r>
    </w:p>
    <w:p w:rsidR="00000000" w:rsidRDefault="00EA582C"/>
    <w:p w:rsidR="00000000" w:rsidRDefault="00EA582C">
      <w:r>
        <w:t>Методы, использованные для сбора/селекции доказательств:</w:t>
      </w:r>
    </w:p>
    <w:p w:rsidR="00000000" w:rsidRDefault="00EA582C">
      <w:r>
        <w:t>поиск в электронных базах данных</w:t>
      </w:r>
    </w:p>
    <w:p w:rsidR="00000000" w:rsidRDefault="00EA582C">
      <w:r>
        <w:t>Описание методов, использованных для сбора/селекции доказательств:</w:t>
      </w:r>
    </w:p>
    <w:p w:rsidR="00000000" w:rsidRDefault="00EA582C">
      <w:r>
        <w:t>Доказательной базой д</w:t>
      </w:r>
      <w:r>
        <w:t>ля рекомендаций являются публикации, вошедшие в электронные библиотеки, базы данных (например, MEDLINE, Pubmed и др.).</w:t>
      </w:r>
    </w:p>
    <w:p w:rsidR="00000000" w:rsidRDefault="00EA582C">
      <w:r>
        <w:t>Глубина поиска составила 20 лет.</w:t>
      </w:r>
    </w:p>
    <w:p w:rsidR="00000000" w:rsidRDefault="00EA582C">
      <w:r>
        <w:lastRenderedPageBreak/>
        <w:t>Методы, использованные для оценки качества и силы доказательств:</w:t>
      </w:r>
    </w:p>
    <w:p w:rsidR="00000000" w:rsidRDefault="00EA582C">
      <w:r>
        <w:t>Консенсус экспертов</w:t>
      </w:r>
    </w:p>
    <w:p w:rsidR="00000000" w:rsidRDefault="00EA582C">
      <w:r>
        <w:t>Оценка значимости в</w:t>
      </w:r>
      <w:r>
        <w:t xml:space="preserve"> соответствии с рейтинговой схемой (см. </w:t>
      </w:r>
      <w:hyperlink w:anchor="sub_12010" w:history="1">
        <w:r>
          <w:rPr>
            <w:rStyle w:val="a4"/>
          </w:rPr>
          <w:t>таблицы</w:t>
        </w:r>
      </w:hyperlink>
      <w:r>
        <w:t>).</w:t>
      </w:r>
    </w:p>
    <w:p w:rsidR="00000000" w:rsidRDefault="00EA582C"/>
    <w:p w:rsidR="00000000" w:rsidRDefault="00EA582C">
      <w:pPr>
        <w:pStyle w:val="1"/>
      </w:pPr>
      <w:bookmarkStart w:id="38" w:name="sub_12010"/>
      <w:r>
        <w:t>Уровни доказательности</w:t>
      </w:r>
      <w:r>
        <w:br/>
        <w:t>Американского общества клинической онкологии (ASCO)</w:t>
      </w:r>
    </w:p>
    <w:bookmarkEnd w:id="38"/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Уровень доказательности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Характеристика доказательной базы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I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Доказательства, полученные в результате мета-анализа большого числа хорошо сбалансированных рандомизированных исследований. Рандомизированные исследования с низким уровнем ложноположительных и ложнонегативных ошибок.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II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Доказательства основаны на результа</w:t>
            </w:r>
            <w:r>
              <w:t>тах не менее одного хорошо сбалансированного рандомизированного исследования. Рандомизированные исследования с высоким уровнем ложноположительных и ложнонегативных ошибок.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III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Доказательства основаны на результатах хорошо спланированных нерандомизированны</w:t>
            </w:r>
            <w:r>
              <w:t>х исследований. Контролируемые исследования с одной группой больных, исследования с группой исторического контроля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IV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Доказательства, полученные в результате нерандомизированных исследований. Непрямые сравнительные, описательно корреляционные исследования и исследования клинических случаев.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V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Доказательства основаны на клинических случаях и примерах.</w:t>
            </w:r>
          </w:p>
        </w:tc>
      </w:tr>
    </w:tbl>
    <w:p w:rsidR="00000000" w:rsidRDefault="00EA582C"/>
    <w:p w:rsidR="00000000" w:rsidRDefault="00EA582C">
      <w:pPr>
        <w:ind w:firstLine="698"/>
        <w:jc w:val="right"/>
      </w:pPr>
      <w:bookmarkStart w:id="39" w:name="sub_12020"/>
      <w:r>
        <w:rPr>
          <w:rStyle w:val="a3"/>
        </w:rPr>
        <w:t>Таблица 2</w:t>
      </w:r>
    </w:p>
    <w:bookmarkEnd w:id="39"/>
    <w:p w:rsidR="00000000" w:rsidRDefault="00EA582C"/>
    <w:p w:rsidR="00000000" w:rsidRDefault="00EA582C">
      <w:pPr>
        <w:pStyle w:val="1"/>
      </w:pPr>
      <w:r>
        <w:t>Градация (категория) рекомендаций в соответствии с уровнем доказательности согласно ASCO</w:t>
      </w:r>
    </w:p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Уровень убедительности рекомендаций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Уровень доказательности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Доказательство I уровня или устойчивые многочисленные данные II, III или IV уровня доказател</w:t>
            </w:r>
            <w:r>
              <w:t>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В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Доказательства II, III или IV уровня, считающиеся в целом устойчивыми данными.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С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Доказательства II, III или IV уровня, но данные в целом неустойчивые.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D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Слабые или несистематические экспериментальные доказательства.</w:t>
            </w:r>
          </w:p>
        </w:tc>
      </w:tr>
    </w:tbl>
    <w:p w:rsidR="00000000" w:rsidRDefault="00EA582C"/>
    <w:p w:rsidR="00000000" w:rsidRDefault="00EA582C">
      <w:r>
        <w:t>Методы, использованные для анализа доказательств:</w:t>
      </w:r>
    </w:p>
    <w:p w:rsidR="00000000" w:rsidRDefault="00EA582C">
      <w:r>
        <w:t>1. Обзоры опубликованных мета-анализов;</w:t>
      </w:r>
    </w:p>
    <w:p w:rsidR="00000000" w:rsidRDefault="00EA582C">
      <w:r>
        <w:t>2. Систематические обзоры.</w:t>
      </w:r>
    </w:p>
    <w:p w:rsidR="00000000" w:rsidRDefault="00EA582C">
      <w:r>
        <w:t>Описание методов, использованных для анализа доказательств:</w:t>
      </w:r>
    </w:p>
    <w:p w:rsidR="00000000" w:rsidRDefault="00EA582C">
      <w:r>
        <w:lastRenderedPageBreak/>
        <w:t>При отборе публикаций, как потенциальных исто</w:t>
      </w:r>
      <w:r>
        <w:t>чников доказательств, использованная в каждом исследовании методология изучается для того, чтобы убедиться в ее валидности. Результат изучения влияет на уровень доказательств публикации, что в свою очередь влияет на силу вытекающих из нее рекомендаций.</w:t>
      </w:r>
    </w:p>
    <w:p w:rsidR="00000000" w:rsidRDefault="00EA582C"/>
    <w:p w:rsidR="00000000" w:rsidRDefault="00EA582C">
      <w:pPr>
        <w:ind w:firstLine="698"/>
        <w:jc w:val="right"/>
      </w:pPr>
      <w:bookmarkStart w:id="40" w:name="sub_20000"/>
      <w:r>
        <w:rPr>
          <w:rStyle w:val="a3"/>
        </w:rPr>
        <w:t>Приложение Б</w:t>
      </w:r>
    </w:p>
    <w:bookmarkEnd w:id="40"/>
    <w:p w:rsidR="00000000" w:rsidRDefault="00EA582C"/>
    <w:p w:rsidR="00000000" w:rsidRDefault="00EA582C">
      <w:pPr>
        <w:pStyle w:val="1"/>
      </w:pPr>
      <w:r>
        <w:t>Алгоритмы ведения пациента</w:t>
      </w:r>
    </w:p>
    <w:p w:rsidR="00000000" w:rsidRDefault="00EA582C"/>
    <w:p w:rsidR="00000000" w:rsidRDefault="00EA582C">
      <w:pPr>
        <w:pStyle w:val="1"/>
      </w:pPr>
      <w:bookmarkStart w:id="41" w:name="sub_20100"/>
      <w:r>
        <w:t xml:space="preserve">3. Гистологическая классификация опухолей яичников </w:t>
      </w:r>
      <w:hyperlink w:anchor="sub_40002" w:history="1">
        <w:r>
          <w:rPr>
            <w:rStyle w:val="a4"/>
            <w:b w:val="0"/>
            <w:bCs w:val="0"/>
          </w:rPr>
          <w:t>[2]</w:t>
        </w:r>
      </w:hyperlink>
    </w:p>
    <w:bookmarkEnd w:id="41"/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66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а. Эпителиальные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1.2. Серозные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Доброкачественные: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серозная цистаденома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серозная цистаденофиброма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серозная поверхностная папиллома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Пограничные: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серозная пограничная опухоль/атипическая пролиферирующая серозная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серозная пограничная опухоль - микропапиллярный вариант/неинвазивная высокодифференцированная серозная карцинома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Злокачественные: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высокодифференцированная серозная карцинома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низкодифференцированная серозная карцинома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1.2. Муцинозные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Доброкачественные: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муцинозная цистаденома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муцинозная аденофиброма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Пограничные: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муцинозная пограничная опухоль/атипическая пролиферирующая муцинозная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Злокачественные: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муцинозная карцинома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1.3. Эндометриоидные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Доброкачественные: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эндометриоидная киста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эндометриоидная цистаденома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эндометриоидная аденофиброма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Пограничные: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эндометриоидная пограничная опухоль/атипическая пролиферирующая эндометриоидная пограничная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Злокачественные: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эндометриоидная карцинома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1.4. Светлоклеточные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Доброкачественные: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светлоклеточная цистаденома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светлоклеточная аденофиброма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Пограничные: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пограничная светлоклеточная опухоль/атипическая пролиферирующая светлоклеточная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Злокачественные: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светлоклеточная карцинома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1.5. Опухоли Бреннера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Доброкачественные: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Бреннера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Пограничные: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пограничная опухоль Бреннера/атипическая пролиферирующая опухоль Бреннера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Злокачественные: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злокачественная опухоль Бреннера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1.6. Серомуцинозные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Доброкачественные: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серомуцинозная цистаденома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серомуцинозная цистаденофиброма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Пограничные: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пограничная серомуцинозная опухоль/атипическая пролиферирующая серомуцинозная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Злокачественные: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серомуцинозная карцинома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1.7. Недифференцированная карцинома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b. Мезенхимальные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высокодифференцированная эндометриальная стромальная саркома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низкодифференцированная эндометриальная стромальная саркома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2.1. Смешанные эпителиальные и мезенхимальные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аденосаркома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карциносаркома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3. Опухоли стромы полового тяжа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3.1. Чистые стромальные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фиброма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клеточная фиброма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текома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текома с л</w:t>
            </w:r>
            <w:r>
              <w:t>ютеинизацией, ассоциированная со склерозирующим перитонитом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фибросаркома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склерозирующая стромальная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перстневидно-клеточная стромальная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микрокистозная стромальная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из клеток Лейдига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стероидоклеточная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злокачественная стероидоклеточная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3.2. Чистые опухоли из клеток полового тяжа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гранулезоклеточная опухоль взрослого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гранулезоклеточная опухоль ювенильного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из клеток Сертоли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опухоль из клеток полового тяжа с трубчатыми структурами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t>3.3. Смешанные опухоли из клеток и стромы полового тяжа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3.3.1 Опухоли из группы Сертоли-Лейдига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высокодифференцированные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умеренно дифференцированные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- с гетерологичными элементами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низкодифференцированные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- с гетерологичными элементами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ретиформные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- с гетерологичными элементами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Опухоли стромы полового тяжа, не классифицируемые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4. Герминогенные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дисгерминома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желточного мешка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эмбриональный рак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негестационная хориокарцинома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зрелая тератома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незрелая тератома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смешанная герминогенная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5. Монодермальная тератома и органоидные опухоли, формирующиеся из дермоидных кист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Струма яичника, доброкачественная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Струма яичника, злокачественная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Карциноид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струма-карциноид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муцинозный карциноид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Опухоли нейроэктодермального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Опухоли сальных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аденома сальных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карцинома сальных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Другие редкие монодермальные тератомы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Карциномы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плоскоклеточная карцинома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другие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6. Смешанные герминогенные опухоли и опухоли из клеток стромы полового тяжа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гонадобластома, включающая гонадобластому со злокачественными герминогенными клетками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смешанная опухоль из герминогенных клеток и клеток стромы полового тяжа, неклассифицируемая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7. Прочие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опухоли сети яичника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аденома сети яичника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аденокарцинома сети яичника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из клеток Вольфова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мелкоклеточная карцинома, гиперкальциемический тип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мелкоклеточная карцинома, легочный тип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Вильмса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параганглиома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солидная псевдопапиллярная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8. Мезотелиальные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аденоматоидная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мезотелиома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lastRenderedPageBreak/>
              <w:t>9. Мягкотканные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миксома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другие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10. Опухолеподобные состояния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фолликулярная киста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киста желтого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крупная солитарная лютеинизирующая фолликулярная киста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гиперреактивная лютеинизация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лютеома беременности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стромальная гиперплазия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стромальный гипертекоз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фиброматоз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массивный отек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гиперплазия клеток Лейдига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Другие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A582C">
            <w:pPr>
              <w:pStyle w:val="a7"/>
            </w:pPr>
          </w:p>
          <w:p w:rsidR="00000000" w:rsidRDefault="00EA582C">
            <w:pPr>
              <w:pStyle w:val="a8"/>
            </w:pPr>
            <w:r>
              <w:rPr>
                <w:rStyle w:val="a3"/>
              </w:rPr>
              <w:t>11. Лимфоидные и миелоидные опухоли</w:t>
            </w:r>
          </w:p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лимфомы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плазмоцитомы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миелоидные опухоли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rPr>
                <w:rStyle w:val="a3"/>
              </w:rPr>
              <w:t>12. Вторичные опухоли</w:t>
            </w:r>
          </w:p>
        </w:tc>
      </w:tr>
    </w:tbl>
    <w:p w:rsidR="00000000" w:rsidRDefault="00EA582C"/>
    <w:p w:rsidR="00000000" w:rsidRDefault="00EA582C">
      <w:pPr>
        <w:pStyle w:val="1"/>
      </w:pPr>
      <w:bookmarkStart w:id="42" w:name="sub_20200"/>
      <w:r>
        <w:t>4. Стадирование рака яичников по TNM и FIGO (2014) [</w:t>
      </w:r>
      <w:hyperlink w:anchor="sub_40001" w:history="1">
        <w:r>
          <w:rPr>
            <w:rStyle w:val="a4"/>
            <w:b w:val="0"/>
            <w:bCs w:val="0"/>
          </w:rPr>
          <w:t>1</w:t>
        </w:r>
      </w:hyperlink>
      <w:r>
        <w:t xml:space="preserve">, </w:t>
      </w:r>
      <w:hyperlink w:anchor="sub_40015" w:history="1">
        <w:r>
          <w:rPr>
            <w:rStyle w:val="a4"/>
            <w:b w:val="0"/>
            <w:bCs w:val="0"/>
          </w:rPr>
          <w:t>15</w:t>
        </w:r>
      </w:hyperlink>
      <w:r>
        <w:t>]</w:t>
      </w:r>
    </w:p>
    <w:bookmarkEnd w:id="42"/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7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TNM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FIGO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Характеристика стадии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ограничена яичниками.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Т1а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IA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ограничена одним яичником, капсула не повреждена, нет опухолевых разрастаний на поверхности яичника, нет злокачественных клеток в асцитической жидкости или смывах из брюшной полости.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T1b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IB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ограничена двумя яичниками, их капсулы не поврежд</w:t>
            </w:r>
            <w:r>
              <w:t>ены, нет опухолевых разрастаний на поверхности яичников, нет злокачественных клеток в асцитической жидкости или смывах из брюшной полости.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T1c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IC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ограничена одним или двумя яичниками и сопровождается любым из следующих факторов: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T1c1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IC1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повреждение капсулы во время операции;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Т1с2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IC2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повреждение капсулы до операции или опухоль на поверхности яичника/маточной трубы.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Т1с3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IC3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Злокачественные клетки в асцитической жидкости или смывах из брюшины.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II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поражает один или два яичника</w:t>
            </w:r>
            <w:r>
              <w:t xml:space="preserve"> с распространением на малый таз.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lastRenderedPageBreak/>
              <w:t>Т2а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IIА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Врастание и/или метастазирование в матку и/или одну или обе маточные трубы.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Т2b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IIB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Распространение на другие ткани таза.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Т3 и/или N1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III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Опухоль поражает один или оба яичника с гистологически подтвержденными внутрибрюшинными метастазами за пределами таза и/или метастазами в регионарных лимфатических узлах (внутренних, наружных и общих подвздошных, запирательных, крестцовых, поясничных или п</w:t>
            </w:r>
            <w:r>
              <w:t>аховых лимфоузлах).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N1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IIIА1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Метастазы только в забрюшинных лимфатических узлах.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IIIAl(i)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Метастазы в лимфатических узлах размерами до 10 мм.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IIIA(ii)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Метастазы в лимфатических узлах размерами более 10 мм.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Т3а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IIIA2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Микроскопические, гистологически подтвержденные внутрибрюшинные метастазы за пределами таза с/без метастазов в забрюшинных лимфатических узлах.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Т3b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IIIB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Макроскопические внутрибрюшинные метастазы за пределами таза до 2 см включительно в наибольшем измерен</w:t>
            </w:r>
            <w:r>
              <w:t>ии с/без метастазов в забрюшинных лимфатических узлах.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Т3с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IIIC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Внутрибрюшинные метастазы за пределами таза более 2 </w:t>
            </w:r>
            <w:r>
              <w:t>см в наибольшем измерении с/без метастазов в забрюшинных лимфатических узлах (включая распространение опухоли на капсулу печени и селезенки без поражения паренхимы органов).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M1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IV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Отдаленные метастазы (исключая внутрибрюшинные метастазы).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IVA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Плевральный выпот со злокачественными клетками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IVB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Метастазы в паренхиматозных органах и других органах вне брюшной полости (в том числе паховых лимфатических узлах и лимфатических узлах за пределами брюшной полости).</w:t>
            </w:r>
          </w:p>
        </w:tc>
      </w:tr>
    </w:tbl>
    <w:p w:rsidR="00000000" w:rsidRDefault="00EA582C"/>
    <w:p w:rsidR="00000000" w:rsidRDefault="00EA582C">
      <w:pPr>
        <w:pStyle w:val="1"/>
      </w:pPr>
      <w:bookmarkStart w:id="43" w:name="sub_20300"/>
      <w:r>
        <w:t>5. Дифференциальная диагностика объемных образований придатков матки [</w:t>
      </w:r>
      <w:hyperlink w:anchor="sub_40006" w:history="1">
        <w:r>
          <w:rPr>
            <w:rStyle w:val="a4"/>
            <w:b w:val="0"/>
            <w:bCs w:val="0"/>
          </w:rPr>
          <w:t>6</w:t>
        </w:r>
      </w:hyperlink>
      <w:r>
        <w:t xml:space="preserve">, </w:t>
      </w:r>
      <w:hyperlink w:anchor="sub_40042" w:history="1">
        <w:r>
          <w:rPr>
            <w:rStyle w:val="a4"/>
            <w:b w:val="0"/>
            <w:bCs w:val="0"/>
          </w:rPr>
          <w:t>42</w:t>
        </w:r>
      </w:hyperlink>
      <w:r>
        <w:t>]</w:t>
      </w:r>
    </w:p>
    <w:bookmarkEnd w:id="43"/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Орган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Кистозное образование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7"/>
              <w:jc w:val="center"/>
            </w:pPr>
            <w:r>
              <w:t>Солидное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Яичник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Функциональная киста Доброкачественная опухоль кистозного строения</w:t>
            </w:r>
          </w:p>
          <w:p w:rsidR="00000000" w:rsidRDefault="00EA582C">
            <w:pPr>
              <w:pStyle w:val="a8"/>
            </w:pPr>
            <w:r>
              <w:t>Пограничная опухоль кистозного строения</w:t>
            </w:r>
          </w:p>
          <w:p w:rsidR="00000000" w:rsidRDefault="00EA582C">
            <w:pPr>
              <w:pStyle w:val="a8"/>
            </w:pPr>
            <w:r>
              <w:t>Злокачественная опухоль кистозного строения</w:t>
            </w:r>
          </w:p>
          <w:p w:rsidR="00000000" w:rsidRDefault="00EA582C">
            <w:pPr>
              <w:pStyle w:val="a8"/>
            </w:pPr>
            <w:r>
              <w:t>Эндометриома (эндометриодная киста)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Доброкачественная опухоль Злокачественная опухоль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Маточная труба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Туб</w:t>
            </w:r>
            <w:r>
              <w:t>овариальный абсцесс</w:t>
            </w:r>
          </w:p>
          <w:p w:rsidR="00000000" w:rsidRDefault="00EA582C">
            <w:pPr>
              <w:pStyle w:val="a8"/>
            </w:pPr>
            <w:r>
              <w:t>Сактосальпингс</w:t>
            </w:r>
          </w:p>
          <w:p w:rsidR="00000000" w:rsidRDefault="00EA582C">
            <w:pPr>
              <w:pStyle w:val="a8"/>
            </w:pPr>
            <w:r>
              <w:t>Параовариальная киста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t>Тубовариальный абсцесс</w:t>
            </w:r>
          </w:p>
          <w:p w:rsidR="00000000" w:rsidRDefault="00EA582C">
            <w:pPr>
              <w:pStyle w:val="a8"/>
            </w:pPr>
            <w:r>
              <w:t>Эктопическая беременность</w:t>
            </w:r>
          </w:p>
          <w:p w:rsidR="00000000" w:rsidRDefault="00EA582C">
            <w:pPr>
              <w:pStyle w:val="a8"/>
            </w:pPr>
            <w:r>
              <w:t>Опухоль (доброкачественная/злокачественная)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Матка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Маточная беременность в двурогой матке или рудиментарном роге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Субсерозная миома матки с интралигаме</w:t>
            </w:r>
            <w:r>
              <w:t>нтарным расположением узла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Толстая кишка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 xml:space="preserve">Сигмовидная или слепая кишка, </w:t>
            </w:r>
            <w:r>
              <w:lastRenderedPageBreak/>
              <w:t>растянутая газами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582C">
            <w:pPr>
              <w:pStyle w:val="a8"/>
            </w:pPr>
            <w:r>
              <w:lastRenderedPageBreak/>
              <w:t>Дивертикулит</w:t>
            </w:r>
          </w:p>
          <w:p w:rsidR="00000000" w:rsidRDefault="00EA582C">
            <w:pPr>
              <w:pStyle w:val="a8"/>
            </w:pPr>
            <w:r>
              <w:lastRenderedPageBreak/>
              <w:t>Илеит</w:t>
            </w:r>
          </w:p>
          <w:p w:rsidR="00000000" w:rsidRDefault="00EA582C">
            <w:pPr>
              <w:pStyle w:val="a8"/>
            </w:pPr>
            <w:r>
              <w:t>Аппендицит</w:t>
            </w:r>
          </w:p>
          <w:p w:rsidR="00000000" w:rsidRDefault="00EA582C">
            <w:pPr>
              <w:pStyle w:val="a8"/>
            </w:pPr>
            <w:r>
              <w:t>Колоректальный рак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lastRenderedPageBreak/>
              <w:t>Другие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Растянутый мочевой пузырь Тазовая дистопия почки</w:t>
            </w:r>
          </w:p>
          <w:p w:rsidR="00000000" w:rsidRDefault="00EA582C">
            <w:pPr>
              <w:pStyle w:val="a8"/>
            </w:pPr>
            <w:r>
              <w:t>Киста мочевого протока</w:t>
            </w:r>
          </w:p>
          <w:p w:rsidR="00000000" w:rsidRDefault="00EA582C">
            <w:pPr>
              <w:pStyle w:val="a8"/>
            </w:pPr>
            <w:r>
              <w:t>Серозоцеле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582C">
            <w:pPr>
              <w:pStyle w:val="a8"/>
            </w:pPr>
            <w:r>
              <w:t>Гематома/абсцесс брюшной стенки</w:t>
            </w:r>
          </w:p>
          <w:p w:rsidR="00000000" w:rsidRDefault="00EA582C">
            <w:pPr>
              <w:pStyle w:val="a8"/>
            </w:pPr>
            <w:r>
              <w:t>Неорганная забрюшинная опухоль</w:t>
            </w:r>
          </w:p>
        </w:tc>
      </w:tr>
    </w:tbl>
    <w:p w:rsidR="00000000" w:rsidRDefault="00EA582C"/>
    <w:p w:rsidR="00000000" w:rsidRDefault="00EA582C">
      <w:pPr>
        <w:pStyle w:val="1"/>
      </w:pPr>
      <w:bookmarkStart w:id="44" w:name="sub_20400"/>
      <w:r>
        <w:t xml:space="preserve">4. Методика расчета индекса RMI </w:t>
      </w:r>
      <w:hyperlink w:anchor="sub_40050" w:history="1">
        <w:r>
          <w:rPr>
            <w:rStyle w:val="a4"/>
            <w:b w:val="0"/>
            <w:bCs w:val="0"/>
          </w:rPr>
          <w:t>[50]</w:t>
        </w:r>
      </w:hyperlink>
    </w:p>
    <w:bookmarkEnd w:id="44"/>
    <w:p w:rsidR="00000000" w:rsidRDefault="00EA582C"/>
    <w:p w:rsidR="00000000" w:rsidRDefault="00EA582C">
      <w:r>
        <w:t>Для подсчета RMI используются значение СА 125 сыворотки крови (СА 125), менопаузальный статус (М) и ультразвуковые характеристики в баллах (U).</w:t>
      </w:r>
    </w:p>
    <w:p w:rsidR="00000000" w:rsidRDefault="00EA582C">
      <w:r>
        <w:t>RMI является произведением СА125 (IU/ml), М и U: RMI = СА 125 х M x U</w:t>
      </w:r>
    </w:p>
    <w:p w:rsidR="00000000" w:rsidRDefault="00EA582C">
      <w:r>
        <w:t>- Значение СА 125 может варьировать от 0 д</w:t>
      </w:r>
      <w:r>
        <w:t>о сотен или тысяч единиц (IU/ml).</w:t>
      </w:r>
    </w:p>
    <w:p w:rsidR="00000000" w:rsidRDefault="00EA582C">
      <w:r>
        <w:t>- Менопаузальный статус равен 1 в пременопаузе;</w:t>
      </w:r>
    </w:p>
    <w:p w:rsidR="00000000" w:rsidRDefault="00EA582C">
      <w:r>
        <w:t>Менопаузальный статус равен 3 в постменопаузе.</w:t>
      </w:r>
    </w:p>
    <w:p w:rsidR="00000000" w:rsidRDefault="00EA582C">
      <w:r>
        <w:t>К постменопаузальным относят женщин с отсутствием менструаций более 1 года или женщин старше 50 лет, перенесших ранее гистерэкт</w:t>
      </w:r>
      <w:r>
        <w:t>омию.</w:t>
      </w:r>
    </w:p>
    <w:p w:rsidR="00000000" w:rsidRDefault="00EA582C">
      <w:r>
        <w:t>- Значение U определяется путем подсчета баллов при выявлении ниже перечисленных эхографических характеристик:</w:t>
      </w:r>
    </w:p>
    <w:p w:rsidR="00000000" w:rsidRDefault="00EA582C">
      <w:r>
        <w:t>- многокамерное кистозное образование - 1 балл;</w:t>
      </w:r>
    </w:p>
    <w:p w:rsidR="00000000" w:rsidRDefault="00EA582C">
      <w:r>
        <w:t>- двусторонний характер поражения - 1 балл;</w:t>
      </w:r>
    </w:p>
    <w:p w:rsidR="00000000" w:rsidRDefault="00EA582C">
      <w:r>
        <w:t>- наличие солидного компонента - 1 балл;</w:t>
      </w:r>
    </w:p>
    <w:p w:rsidR="00000000" w:rsidRDefault="00EA582C">
      <w:r>
        <w:t>- нали</w:t>
      </w:r>
      <w:r>
        <w:t>чие метастазов - 1 балл;</w:t>
      </w:r>
    </w:p>
    <w:p w:rsidR="00000000" w:rsidRDefault="00EA582C">
      <w:r>
        <w:t>- асцит - 1 балл.</w:t>
      </w:r>
    </w:p>
    <w:p w:rsidR="00000000" w:rsidRDefault="00EA582C">
      <w:r>
        <w:t>U = 0 (при 0 баллов),</w:t>
      </w:r>
    </w:p>
    <w:p w:rsidR="00000000" w:rsidRDefault="00EA582C">
      <w:r>
        <w:t>U = 1 (при 1 балле),</w:t>
      </w:r>
    </w:p>
    <w:p w:rsidR="00000000" w:rsidRDefault="00EA582C">
      <w:r>
        <w:t>U = 3 (при баллах от 2 до 5).</w:t>
      </w:r>
    </w:p>
    <w:p w:rsidR="00000000" w:rsidRDefault="00EA582C"/>
    <w:p w:rsidR="00000000" w:rsidRDefault="00EA582C">
      <w:pPr>
        <w:pStyle w:val="1"/>
      </w:pPr>
      <w:bookmarkStart w:id="45" w:name="sub_20500"/>
      <w:r>
        <w:t>5. Методика расчета индекса ROMA [</w:t>
      </w:r>
      <w:hyperlink w:anchor="sub_40001" w:history="1">
        <w:r>
          <w:rPr>
            <w:rStyle w:val="a4"/>
            <w:b w:val="0"/>
            <w:bCs w:val="0"/>
          </w:rPr>
          <w:t>1</w:t>
        </w:r>
      </w:hyperlink>
      <w:r>
        <w:t xml:space="preserve">, </w:t>
      </w:r>
      <w:hyperlink w:anchor="sub_40004" w:history="1">
        <w:r>
          <w:rPr>
            <w:rStyle w:val="a4"/>
            <w:b w:val="0"/>
            <w:bCs w:val="0"/>
          </w:rPr>
          <w:t>4</w:t>
        </w:r>
      </w:hyperlink>
      <w:r>
        <w:t xml:space="preserve">, </w:t>
      </w:r>
      <w:hyperlink w:anchor="sub_40006" w:history="1">
        <w:r>
          <w:rPr>
            <w:rStyle w:val="a4"/>
            <w:b w:val="0"/>
            <w:bCs w:val="0"/>
          </w:rPr>
          <w:t>6</w:t>
        </w:r>
      </w:hyperlink>
      <w:r>
        <w:t>]</w:t>
      </w:r>
    </w:p>
    <w:bookmarkEnd w:id="45"/>
    <w:p w:rsidR="00000000" w:rsidRDefault="00EA582C"/>
    <w:p w:rsidR="00000000" w:rsidRDefault="00EA582C">
      <w:pPr>
        <w:pStyle w:val="1"/>
      </w:pPr>
      <w:bookmarkStart w:id="46" w:name="sub_20510"/>
      <w:r>
        <w:t>Расчет прогностического индекса (пи)</w:t>
      </w:r>
    </w:p>
    <w:bookmarkEnd w:id="46"/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Пременопауза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Постменопауза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пи = -12,0 + 2,38 х LN [НЕ4] + 0,0626 х LN [СА125]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пи = -8,09 + 1,04 х LN [НЕ4] + 0,732 х LN [СА125]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Расчет индекса рома (%)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roma = ехр (ПИ) / [1 + ехр (ПИ)] х 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582C">
            <w:pPr>
              <w:pStyle w:val="a7"/>
            </w:pPr>
          </w:p>
        </w:tc>
      </w:tr>
    </w:tbl>
    <w:p w:rsidR="00000000" w:rsidRDefault="00EA582C"/>
    <w:p w:rsidR="00000000" w:rsidRDefault="00EA582C">
      <w:pPr>
        <w:pStyle w:val="1"/>
      </w:pPr>
      <w:bookmarkStart w:id="47" w:name="sub_20520"/>
      <w:r>
        <w:t>Стратификация риска рака яичников в зависимости от значений индекса ROMA</w:t>
      </w:r>
    </w:p>
    <w:bookmarkEnd w:id="47"/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Пременопауза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r>
              <w:t>Постменопауза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меньше 7,39% - низкий риск эпителиального рака яичников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меньше 25,29% - низкий риск эпителиального рака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больше 7,39% - высокий риск эпителиального рака яичников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582C">
            <w:pPr>
              <w:pStyle w:val="a8"/>
            </w:pPr>
            <w:r>
              <w:t>больше 25,29% - высокий риск эпителиального рака яичников</w:t>
            </w:r>
          </w:p>
        </w:tc>
      </w:tr>
    </w:tbl>
    <w:p w:rsidR="00000000" w:rsidRDefault="00EA582C"/>
    <w:p w:rsidR="00000000" w:rsidRDefault="00EA582C">
      <w:pPr>
        <w:pStyle w:val="1"/>
      </w:pPr>
      <w:bookmarkStart w:id="48" w:name="sub_20600"/>
      <w:r>
        <w:lastRenderedPageBreak/>
        <w:t>6. Тактика ведения и лечения пациенток</w:t>
      </w:r>
      <w:r>
        <w:br/>
        <w:t>с объемными образованиями придатков матки в детском возрасте [</w:t>
      </w:r>
      <w:hyperlink w:anchor="sub_40004" w:history="1">
        <w:r>
          <w:rPr>
            <w:rStyle w:val="a4"/>
            <w:b w:val="0"/>
            <w:bCs w:val="0"/>
          </w:rPr>
          <w:t>4</w:t>
        </w:r>
      </w:hyperlink>
      <w:r>
        <w:t xml:space="preserve">, </w:t>
      </w:r>
      <w:hyperlink w:anchor="sub_40005" w:history="1">
        <w:r>
          <w:rPr>
            <w:rStyle w:val="a4"/>
            <w:b w:val="0"/>
            <w:bCs w:val="0"/>
          </w:rPr>
          <w:t>5</w:t>
        </w:r>
      </w:hyperlink>
      <w:r>
        <w:t xml:space="preserve">, </w:t>
      </w:r>
      <w:hyperlink w:anchor="sub_40006" w:history="1">
        <w:r>
          <w:rPr>
            <w:rStyle w:val="a4"/>
            <w:b w:val="0"/>
            <w:bCs w:val="0"/>
          </w:rPr>
          <w:t>6</w:t>
        </w:r>
      </w:hyperlink>
      <w:r>
        <w:t>]</w:t>
      </w:r>
    </w:p>
    <w:bookmarkEnd w:id="48"/>
    <w:p w:rsidR="00000000" w:rsidRDefault="00EA582C"/>
    <w:p w:rsidR="00000000" w:rsidRDefault="00C418BC">
      <w:pPr>
        <w:pStyle w:val="a8"/>
      </w:pPr>
      <w:r>
        <w:rPr>
          <w:noProof/>
        </w:rPr>
        <w:drawing>
          <wp:inline distT="0" distB="0" distL="0" distR="0">
            <wp:extent cx="5810250" cy="3171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582C"/>
    <w:p w:rsidR="00000000" w:rsidRDefault="00EA582C">
      <w:pPr>
        <w:pStyle w:val="1"/>
      </w:pPr>
      <w:bookmarkStart w:id="49" w:name="sub_20700"/>
      <w:r>
        <w:t>7. Тактика ведения и лечения пациенток с объемными образованиями придатков матки в репродуктивном и пременопаузальном периоде [</w:t>
      </w:r>
      <w:hyperlink w:anchor="sub_40004" w:history="1">
        <w:r>
          <w:rPr>
            <w:rStyle w:val="a4"/>
            <w:b w:val="0"/>
            <w:bCs w:val="0"/>
          </w:rPr>
          <w:t>4</w:t>
        </w:r>
      </w:hyperlink>
      <w:r>
        <w:t xml:space="preserve">, </w:t>
      </w:r>
      <w:hyperlink w:anchor="sub_40005" w:history="1">
        <w:r>
          <w:rPr>
            <w:rStyle w:val="a4"/>
            <w:b w:val="0"/>
            <w:bCs w:val="0"/>
          </w:rPr>
          <w:t>5</w:t>
        </w:r>
      </w:hyperlink>
      <w:r>
        <w:t xml:space="preserve">, </w:t>
      </w:r>
      <w:hyperlink w:anchor="sub_40006" w:history="1">
        <w:r>
          <w:rPr>
            <w:rStyle w:val="a4"/>
            <w:b w:val="0"/>
            <w:bCs w:val="0"/>
          </w:rPr>
          <w:t>6</w:t>
        </w:r>
      </w:hyperlink>
      <w:r>
        <w:t xml:space="preserve">, </w:t>
      </w:r>
      <w:hyperlink w:anchor="sub_40018" w:history="1">
        <w:r>
          <w:rPr>
            <w:rStyle w:val="a4"/>
            <w:b w:val="0"/>
            <w:bCs w:val="0"/>
          </w:rPr>
          <w:t>18</w:t>
        </w:r>
      </w:hyperlink>
      <w:r>
        <w:t>]</w:t>
      </w:r>
    </w:p>
    <w:bookmarkEnd w:id="49"/>
    <w:p w:rsidR="00000000" w:rsidRDefault="00EA582C"/>
    <w:p w:rsidR="00000000" w:rsidRDefault="00C418BC">
      <w:pPr>
        <w:pStyle w:val="a8"/>
      </w:pPr>
      <w:r>
        <w:rPr>
          <w:noProof/>
        </w:rPr>
        <w:drawing>
          <wp:inline distT="0" distB="0" distL="0" distR="0">
            <wp:extent cx="5800725" cy="3352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582C"/>
    <w:p w:rsidR="00000000" w:rsidRDefault="00EA582C">
      <w:pPr>
        <w:ind w:firstLine="698"/>
        <w:jc w:val="right"/>
      </w:pPr>
      <w:bookmarkStart w:id="50" w:name="sub_30000"/>
      <w:r>
        <w:rPr>
          <w:rStyle w:val="a3"/>
        </w:rPr>
        <w:t>Приложение В</w:t>
      </w:r>
    </w:p>
    <w:bookmarkEnd w:id="50"/>
    <w:p w:rsidR="00000000" w:rsidRDefault="00EA582C"/>
    <w:p w:rsidR="00000000" w:rsidRDefault="00EA582C">
      <w:pPr>
        <w:pStyle w:val="1"/>
      </w:pPr>
      <w:r>
        <w:t>Информация для пациентов</w:t>
      </w:r>
    </w:p>
    <w:p w:rsidR="00000000" w:rsidRDefault="00EA582C"/>
    <w:p w:rsidR="00000000" w:rsidRDefault="00EA582C">
      <w:pPr>
        <w:pStyle w:val="1"/>
      </w:pPr>
      <w:r>
        <w:t>Памятка для пациенток</w:t>
      </w:r>
      <w:r>
        <w:br/>
        <w:t>(основана на адапти</w:t>
      </w:r>
      <w:r>
        <w:t>рованном материале, представленном в данных рекомендациях)</w:t>
      </w:r>
    </w:p>
    <w:p w:rsidR="00000000" w:rsidRDefault="00EA582C"/>
    <w:p w:rsidR="00000000" w:rsidRDefault="00EA582C">
      <w:r>
        <w:t>- Доброкачественные и злокачественные опухоли яичников встречаются в любом возрасте и характеризуются бессимптомным течением, что придает особую ценность ежегодному осмотру гинекологом и ежегодном</w:t>
      </w:r>
      <w:r>
        <w:t>у ультразвуковому исследованию органов малого таза.</w:t>
      </w:r>
    </w:p>
    <w:p w:rsidR="00000000" w:rsidRDefault="00EA582C">
      <w:r>
        <w:t>- Боли в нижних отделах живота и пояснице, увеличение живота, слабость, похудание являются поздними симптомами рака яичников.</w:t>
      </w:r>
    </w:p>
    <w:p w:rsidR="00000000" w:rsidRDefault="00EA582C">
      <w:r>
        <w:t>- Опухоли яичников в 99,0% не приводят к нарушению менструального цикла.</w:t>
      </w:r>
    </w:p>
    <w:p w:rsidR="00000000" w:rsidRDefault="00EA582C">
      <w:r>
        <w:t>- Эфф</w:t>
      </w:r>
      <w:r>
        <w:t>ективный скрининг раннего рака яичников отсутствует.</w:t>
      </w:r>
    </w:p>
    <w:p w:rsidR="00000000" w:rsidRDefault="00EA582C">
      <w:r>
        <w:t>- Более 50% объемных образований придатков матки кистозного строения у менструирующих женщин являются функциональными, т.е. способными к самостоятельному регрессу. Подтверждение функционального характера</w:t>
      </w:r>
      <w:r>
        <w:t xml:space="preserve"> кистозного образования яичников проводится при повторном ультразвуковом исследовании через 4-6 недель от первичного.</w:t>
      </w:r>
    </w:p>
    <w:p w:rsidR="00000000" w:rsidRDefault="00EA582C">
      <w:r>
        <w:t>- У женщин постменопаузального периода (возрастное отсутствие менструаций) обнаружение кистозного образования яичников в подавляющем больш</w:t>
      </w:r>
      <w:r>
        <w:t>инстве наблюдений является опухолью (доброкачественной или злокачественной). Окончательно судить о характере процесса возможно только после удаления опухоли, т.е. проведенного хирургического лечения.</w:t>
      </w:r>
    </w:p>
    <w:p w:rsidR="00000000" w:rsidRDefault="00EA582C">
      <w:r>
        <w:t>- При посещении гинеколога необходимо подробно рассказат</w:t>
      </w:r>
      <w:r>
        <w:t>ь о всех кровных родственниках, страдавших злокачественной опухолью любой локализации как по женской, так и по мужской линии, особенно отмечая рак молочных желез, яичников, эндометрия, толстой кишки и желудка.</w:t>
      </w:r>
    </w:p>
    <w:p w:rsidR="00000000" w:rsidRDefault="00EA582C"/>
    <w:p w:rsidR="00000000" w:rsidRDefault="00EA582C">
      <w:pPr>
        <w:pStyle w:val="1"/>
      </w:pPr>
      <w:bookmarkStart w:id="51" w:name="sub_40000"/>
      <w:r>
        <w:t>Список литературы</w:t>
      </w:r>
    </w:p>
    <w:bookmarkEnd w:id="51"/>
    <w:p w:rsidR="00000000" w:rsidRDefault="00EA5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52" w:name="sub_40001"/>
            <w:r>
              <w:t>1.</w:t>
            </w:r>
            <w:bookmarkEnd w:id="5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Stewart B.W., Wild С.Р. World cancer report. Lyon: IARC, 2014. 916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53" w:name="sub_40002"/>
            <w:r>
              <w:t>2.</w:t>
            </w:r>
            <w:bookmarkEnd w:id="5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Kurman R.J., Cargangiu M.L., Herrington C.S. et al. IAR Lion 2014. WHO Classification of female reproductive organs].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54" w:name="sub_40003"/>
            <w:r>
              <w:t>3.</w:t>
            </w:r>
            <w:bookmarkEnd w:id="54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Франк Г.А., Москвина Л.B., Андреева Ю.Ю. Новая классификация опухолей яичника Журнал: Архив патологии. 2015; 77(4): 40-50. DOI: 10.17116/patol201577440-50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55" w:name="sub_40004"/>
            <w:r>
              <w:t>4.</w:t>
            </w:r>
            <w:bookmarkEnd w:id="55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Clark-Pearson D., Soper J. Gynecological Cancer Management. Identification, dia</w:t>
            </w:r>
            <w:r>
              <w:t>gnosis and treatment. 2010. 196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56" w:name="sub_40005"/>
            <w:r>
              <w:t>5.</w:t>
            </w:r>
            <w:bookmarkEnd w:id="56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Нейштадт Э.Л., Ожиганова И.Н. Опухоли яичника. - СПб: ООО "Издательство ФОЛИАНТ", 2014. - 352 с.: ил.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57" w:name="sub_40006"/>
            <w:r>
              <w:t>6.</w:t>
            </w:r>
            <w:bookmarkEnd w:id="57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Клиническая онкогинекология: в 3 т./под ред. Ф. Дж. Дисаи, У.Т. Крисмана; п</w:t>
            </w:r>
            <w:r>
              <w:t>ер. с англ. под ред. Е.Г. Новиковой. - М.: Практическая медицина, 2012. - Т.3. - с.: ил.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58" w:name="sub_40007"/>
            <w:r>
              <w:t>7.</w:t>
            </w:r>
            <w:bookmarkEnd w:id="58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Ribic-Pucelj М., Kobal В., et al. Surgical treatment of adnexal masses in pregnancy. J Reprod Med 2007; 52: 273-279.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59" w:name="sub_40008"/>
            <w:r>
              <w:t>8.</w:t>
            </w:r>
            <w:bookmarkEnd w:id="59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Hess C.U., Peaseman A., O'Brier W.F. et al. Adnexal masses occurring with intrauterine pregnancy: report of 54 patients requiring laparotomy for mature management. Am J ObstatGynacol. 1988; 93: 585-589.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0" w:name="sub_40009"/>
            <w:r>
              <w:t>9.</w:t>
            </w:r>
            <w:bookmarkEnd w:id="60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Graham L. ACOG Releases Guideli</w:t>
            </w:r>
            <w:r>
              <w:t xml:space="preserve">nes on Management of Adnexal Masses. Am Fam </w:t>
            </w:r>
            <w:r>
              <w:lastRenderedPageBreak/>
              <w:t>Physician 2008; 77(9): 1320-3.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1" w:name="sub_40010"/>
            <w:r>
              <w:lastRenderedPageBreak/>
              <w:t>10.</w:t>
            </w:r>
            <w:bookmarkEnd w:id="61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Management of Suspected Ovarian Masses in Premenopausal Women. RCOG/BSGE Joint Green-top Guideline No. 62, Nov 2011.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2" w:name="sub_40011"/>
            <w:r>
              <w:t>11.</w:t>
            </w:r>
            <w:bookmarkEnd w:id="6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 xml:space="preserve">The Management of </w:t>
            </w:r>
            <w:r>
              <w:t>Ovarian Cysts in Postmenopausal Women. RCOG Green-top Guideline No. 34, July 2016.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3" w:name="sub_40012"/>
            <w:r>
              <w:t>12.</w:t>
            </w:r>
            <w:bookmarkEnd w:id="6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Colombo N, Peiretti M, Garbi A, et al. Non-Epithelial Ovarian Cancer: ESMO Clinical Practice Guidelines for diagnosis, treatment and follow-up. Ann On</w:t>
            </w:r>
            <w:r>
              <w:t>col 2012; 23 (7): vii20-6.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4" w:name="sub_40013"/>
            <w:r>
              <w:t>13.</w:t>
            </w:r>
            <w:bookmarkEnd w:id="64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Peccatori FA, Azim HA Jr, Orecchia R, Hoekstra HJ, Pavlidis N, Kesic V, Pentheroudakis G. Cancer, pregnancy and fertility: ESMO Clinical Practice Guidelines for diagnosis, treatment and follow-up. Ann Oncol</w:t>
            </w:r>
            <w:r>
              <w:t xml:space="preserve"> 2013; 24(6): vii 160-70.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5" w:name="sub_40014"/>
            <w:r>
              <w:t>14.</w:t>
            </w:r>
            <w:bookmarkEnd w:id="65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Guidelines for the Use of Laparoscopy for during Pregnancy. SAGES May 2017.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6" w:name="sub_40015"/>
            <w:r>
              <w:t>15.</w:t>
            </w:r>
            <w:bookmarkEnd w:id="66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Prat J. Staging classification for cancer of the ovary, fallopian tube, and peritoneum. FIGO Committee on Gynecologic Oncology. Int J GynecolObstet 2014; 124(1): 1-5.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7" w:name="sub_40016"/>
            <w:r>
              <w:t>16.</w:t>
            </w:r>
            <w:bookmarkEnd w:id="67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The Role of the Obstetrician-Gynecologist in the Early Detection o</w:t>
            </w:r>
            <w:r>
              <w:t>f Epithelial Ovarian Cancer in Women at Average Risk. ACOG Committee Opinion. SGO No. 716, Nov 2017.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8" w:name="sub_40017"/>
            <w:r>
              <w:t>17.</w:t>
            </w:r>
            <w:bookmarkEnd w:id="68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Ovarian Cancer Screening Tests: Safety Communication - FDA Recommends Against Use. U.S. FDA, Posted 09.07.2016.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69" w:name="sub_40018"/>
            <w:r>
              <w:t>18.</w:t>
            </w:r>
            <w:bookmarkEnd w:id="69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Final Recommendation Statement: Ovarian Cancer: Screening. U.S. Preventive Services Task Force (USPSTF). December 2016.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0" w:name="sub_40019"/>
            <w:r>
              <w:t>19.</w:t>
            </w:r>
            <w:bookmarkEnd w:id="70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Клинические рекомендации по диагностике и лечению больных раком яичников, маточной трубы или первичным раком б</w:t>
            </w:r>
            <w:r>
              <w:t>рюшины. Ассоциация онкологов России, 2014.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1" w:name="sub_40020"/>
            <w:r>
              <w:t>20.</w:t>
            </w:r>
            <w:bookmarkEnd w:id="71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ICD-Q International Classification of Diseases for Oncology. 3rd Edition. By Percy C. WHO 2000, 240 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2" w:name="sub_40021"/>
            <w:r>
              <w:t>21.</w:t>
            </w:r>
            <w:bookmarkEnd w:id="7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hyperlink r:id="rId28" w:history="1">
              <w:r>
                <w:rPr>
                  <w:rStyle w:val="a4"/>
                </w:rPr>
                <w:t>Порядок</w:t>
              </w:r>
            </w:hyperlink>
            <w:r>
              <w:t xml:space="preserve"> оказания медицинс</w:t>
            </w:r>
            <w:r>
              <w:t xml:space="preserve">кой помощи по профилю "акушерство и гинекология" (за исключением использования вспомогательных репродуктивных технологий)", утвержденный </w:t>
            </w:r>
            <w:hyperlink r:id="rId2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 ноября 2012 г. N 572н (ред. от 12 января 2016 г.) и </w:t>
            </w:r>
            <w:r>
              <w:t>зарегистрированный в Минюсте России 2 апреля 2013 г. N 27960.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3" w:name="sub_40022"/>
            <w:r>
              <w:t>22.</w:t>
            </w:r>
            <w:bookmarkEnd w:id="7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Karseladze AI. WHO histological classification of ovarian tumors. Geneva 1999. ArkhPatol 2005; 1:64.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4" w:name="sub_40023"/>
            <w:r>
              <w:t>23.</w:t>
            </w:r>
            <w:bookmarkEnd w:id="74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Randall LM, Pothuri B, Swisher EM. Multi-disciplinary summit on genetics services for women with gynecologic cancers: A Society of Gynecologic Oncology White Paper. GynOncol 2017; 146: 217-24.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5" w:name="sub_40024"/>
            <w:r>
              <w:t>24.</w:t>
            </w:r>
            <w:bookmarkEnd w:id="75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Rizzuto I, Behrens RF, Smith LA. Risk of</w:t>
            </w:r>
            <w:r>
              <w:t xml:space="preserve"> ovarian cancer in women treated with ovarian stimulating drugs for infertility (Review). Cochrane Database Syst Rev 2013, Issue 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6" w:name="sub_40025"/>
            <w:r>
              <w:t>25.</w:t>
            </w:r>
            <w:bookmarkEnd w:id="76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Bunyavejchevin S, Phupong V. Laparoscopic surgery for presumed benign ovarian tumor during pregnancy.</w:t>
            </w:r>
            <w:r>
              <w:t xml:space="preserve"> Cochrane Database Syst Rev 2013, Jan 31(1).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7" w:name="sub_40026"/>
            <w:r>
              <w:t>26.</w:t>
            </w:r>
            <w:bookmarkEnd w:id="77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Новикова Е.Г., Чиссов В.И., Чулкова O.B. и др. Органосохраняющее лечение в онкогинекологии, Москва, 2000, 108 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8" w:name="sub_40027"/>
            <w:r>
              <w:t>27.</w:t>
            </w:r>
            <w:bookmarkEnd w:id="78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Gotlieb WH, Chetrit A, Menczer J, et al. Demographic</w:t>
            </w:r>
            <w:r>
              <w:t xml:space="preserve"> and genetic characteristics of patients with borderline ovarian tumors as compared to early stage invasive ovarian cancer. GynecolOncol 2005; 97(3): 780.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79" w:name="sub_40028"/>
            <w:r>
              <w:t>28.</w:t>
            </w:r>
            <w:bookmarkEnd w:id="79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Stiekema A, Boldingh QJ</w:t>
            </w:r>
            <w:r>
              <w:t>, Korse CM, et al. Serum human epididymal protein 4 (HE4) as biomarker for the differentiation between epithelial ovarian cancer and ovarian metastases of gastrointestinal origin. GynecolOncol 2015; 136(3): 562-6.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0" w:name="sub_40029"/>
            <w:r>
              <w:t>29.</w:t>
            </w:r>
            <w:bookmarkEnd w:id="80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Moore RG, Miller MC</w:t>
            </w:r>
            <w:r>
              <w:t>, Eklund EE, Lu KH, Bast RC, Lambert-Messerlian G. Serum levels of the ovarian cancer biomarker HE4 are decreased in pregnancy and increase with age. Am J ObstetGynecol 2012; 206(4): 349.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1" w:name="sub_40030"/>
            <w:r>
              <w:t>30.</w:t>
            </w:r>
            <w:bookmarkEnd w:id="81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Santotoribio JD, Garcia-de la Torre A, Canava</w:t>
            </w:r>
            <w:r>
              <w:t xml:space="preserve">te-Solano C, et al. Cancer antigens 19.9 </w:t>
            </w:r>
            <w:r>
              <w:lastRenderedPageBreak/>
              <w:t>and 125 as tumor markers in patients with mucinous ovarian tumors. Eur J GynaecolOncol 2016; 37(1): 26-9.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2" w:name="sub_40031"/>
            <w:r>
              <w:lastRenderedPageBreak/>
              <w:t>31.</w:t>
            </w:r>
            <w:bookmarkEnd w:id="8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 xml:space="preserve">Клиническая онкогинекология. Руководство для врачей. Под ред. В.П. Козаченко, Москва, </w:t>
            </w:r>
            <w:r>
              <w:t>2016, 250 стр.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3" w:name="sub_40032"/>
            <w:r>
              <w:t>32.</w:t>
            </w:r>
            <w:bookmarkEnd w:id="8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Fagotti A, Perelli F, Pedone L, Scambia G. Current Recommendations for Minimally Invasive Surgical Staging in Ovarian Cancer. Curr Treat Options Oncol 2016; 17(1): 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4" w:name="sub_40033"/>
            <w:r>
              <w:t>33.</w:t>
            </w:r>
            <w:bookmarkEnd w:id="84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Мартынов C.A., Хирургическая</w:t>
            </w:r>
            <w:r>
              <w:t xml:space="preserve"> тактика при лечении беременных с опухолевидными образованиями и опухолями яичников//Дис. д.м.н. 2016, 165 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5" w:name="sub_40034"/>
            <w:r>
              <w:t>34.</w:t>
            </w:r>
            <w:bookmarkEnd w:id="85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Recent Advances in Diagnosis and Management of Ovarian Cancer. Jensen, S.E., &amp; S.A., F. (Ed.) - First Edition. U.S.A.: Spri</w:t>
            </w:r>
            <w:r>
              <w:t>nger. 2014.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6" w:name="sub_40035"/>
            <w:r>
              <w:t>35.</w:t>
            </w:r>
            <w:bookmarkEnd w:id="86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Герфанова E.B., Ашрафян Л.А., Антонова И.Б., Алешикова О.И., Ивашина С.В. Опухоли женской репродуктивной системы. 2015. 1: 70-75.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7" w:name="sub_40036"/>
            <w:r>
              <w:t>36.</w:t>
            </w:r>
            <w:bookmarkEnd w:id="87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Har</w:t>
            </w:r>
            <w:r>
              <w:t>t WR. Borderline epithelial tumors of the ovary. Mod Pathol 2005; 18 (Suppl2): S33-50.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8" w:name="sub_40037"/>
            <w:r>
              <w:t>37.</w:t>
            </w:r>
            <w:bookmarkEnd w:id="88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Jones MB. Borderline ovarian tumors: current concepts for prognostic factors and clinical management. ClinObstetGvnecol 2006; 49:517.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89" w:name="sub_40038"/>
            <w:r>
              <w:t>38</w:t>
            </w:r>
            <w:r>
              <w:t>.</w:t>
            </w:r>
            <w:bookmarkEnd w:id="89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McDonald JM. Modesitt SC. The incidental postmenopausal adnexal mass. ClinObstetGvnecol. 2006 Sep: 49(3): 506-16.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0" w:name="sub_40039"/>
            <w:r>
              <w:t>39.</w:t>
            </w:r>
            <w:bookmarkEnd w:id="90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Hereditary breast and ovarian cancer syndrome. ACOG Practice Bulletin No. 103. ObstetGynecol 2009; 113: 957-</w:t>
            </w:r>
            <w:r>
              <w:t>66.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1" w:name="sub_40040"/>
            <w:r>
              <w:t>40.</w:t>
            </w:r>
            <w:bookmarkEnd w:id="91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Morgan RJ, Armstrong DK, Alvarez RD, et al. Ovarian Cancer, Version 1.2016. NCCN Clinical practice guidelines in oncology. J Nat Comp Cancer Network 2016; 14(9): 1134-63.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2" w:name="sub_40041"/>
            <w:r>
              <w:t>41.</w:t>
            </w:r>
            <w:bookmarkEnd w:id="9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hyperlink r:id="rId30" w:history="1">
              <w:r>
                <w:rPr>
                  <w:rStyle w:val="a4"/>
                </w:rPr>
                <w:t>Порядок</w:t>
              </w:r>
            </w:hyperlink>
            <w:r>
              <w:t xml:space="preserve"> проведения диспансеризации определенных групп взрослого населения в редакции </w:t>
            </w:r>
            <w:hyperlink r:id="rId31" w:history="1">
              <w:r>
                <w:rPr>
                  <w:rStyle w:val="a4"/>
                </w:rPr>
                <w:t>приказа</w:t>
              </w:r>
            </w:hyperlink>
            <w:r>
              <w:t xml:space="preserve"> Минздрава России от 9 декабря 2016 г. N 946н "О внесении изменений в порядок проведения диспансеризации определенных групп </w:t>
            </w:r>
            <w:r>
              <w:t>взрослого населения, утвержденному приказом Минздрава России от 3 февраля 2015 г. N 36ан"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3" w:name="sub_40042"/>
            <w:r>
              <w:t>42.</w:t>
            </w:r>
            <w:bookmarkEnd w:id="9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Kurman R.J. et al. Blaustein's Pathology of the Female Genital Tract 6th edition. - Springer, 2011.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4" w:name="sub_40043"/>
            <w:r>
              <w:t>43.</w:t>
            </w:r>
            <w:bookmarkEnd w:id="94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Акушерство. Национальное руководство. М.: ГЭОТАР-Медиа, 2015. - 1080 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5" w:name="sub_40044"/>
            <w:r>
              <w:t>44.</w:t>
            </w:r>
            <w:bookmarkEnd w:id="95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Brown DL, Andreotti RF, Lee SI, et al. ACR appropriateness criteria ovarian cancer screening. Ultrasound Q. 2010; 26(4): 219-23.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6" w:name="sub_40045"/>
            <w:r>
              <w:t>45.</w:t>
            </w:r>
            <w:bookmarkEnd w:id="96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Timmerman</w:t>
            </w:r>
            <w:r>
              <w:t xml:space="preserve"> D, Van Calster B, Testa AC et al. Ovarian cancer prediction in adnexal masses using ultrasound-based logistic regression models: a temporal and external validation study by the IOTA group. Ultrasound ObstetGynecol 2010; 36: 226-234.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7" w:name="sub_40046"/>
            <w:r>
              <w:t>46.</w:t>
            </w:r>
            <w:bookmarkEnd w:id="97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Timmerman DV, L.; Bourne, Т.Н.; Collins, W.P.; Verrelst H.; Vergote, I. Terms, definitions and measurements to describe the sonographic features of adnexal tumors: a consensus opinion from the International Ovarian Tumor Analysis (IOTA) group. UltrasondOb</w:t>
            </w:r>
            <w:r>
              <w:t>stetGynecol 2000; 16: 500-505.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8" w:name="sub_40047"/>
            <w:r>
              <w:t>47.</w:t>
            </w:r>
            <w:bookmarkEnd w:id="98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Jacobs I, Oram D, Fairbanks J et al. A risk of malignancy index incorporating СA 125, ultrasound and menopausal status for the accurate preoperative diagnosis of ovarian cancer. Br J ObstetGynaecol 1990</w:t>
            </w:r>
            <w:r>
              <w:t>; 97: 922-929.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99" w:name="sub_40048"/>
            <w:r>
              <w:t>48.</w:t>
            </w:r>
            <w:bookmarkEnd w:id="99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Tingulstad S, Hagen B, Skjeldestad FE et al. The risk-of-malignancy index to evaluate potential ovarian cancers in local hospitals. ObstetGynecol 1999; 93: 448-452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100" w:name="sub_40049"/>
            <w:r>
              <w:t>49.</w:t>
            </w:r>
            <w:bookmarkEnd w:id="100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Yen and Jaffe's reproductive endocrinology: physiology, pathophysiology, and clinical management/[edited by] Jerome F. Strauss III, Robert Barbieri. - 7thed.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101" w:name="sub_40050"/>
            <w:r>
              <w:t>50.</w:t>
            </w:r>
            <w:bookmarkEnd w:id="101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Ovarian cancer: recognition and initial management. Clinical guideline. Pub</w:t>
            </w:r>
            <w:r>
              <w:t>lished: 27 April 2011 nice.org.uk/guidance/cgl22 (https://www.nice.org.uk/terms-and-conditions#notice-ofrights).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102" w:name="sub_40051"/>
            <w:r>
              <w:lastRenderedPageBreak/>
              <w:t>51.</w:t>
            </w:r>
            <w:bookmarkEnd w:id="10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British Gynaecological Cancer Society (BGCS) Epithelial Ovarian/Fallopian Tube/Primary Peritoneal Cancer Guidelines: Rec</w:t>
            </w:r>
            <w:r>
              <w:t>ommendations for Practice. 2017. P. 48.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103" w:name="sub_40052"/>
            <w:r>
              <w:t>52.</w:t>
            </w:r>
            <w:bookmarkEnd w:id="10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 xml:space="preserve">Screening for Ovarian Cancer: US Preventive Services Task Force Recommendation Statement. US Preventive Services Task Force. Grossman DC, Curry SJ, Owens DK, Barry MJ, Davidson KW, Doubeni CA, </w:t>
            </w:r>
            <w:r>
              <w:t>Epling JW Jr, Kemper AR, Krist AH, Kurth AE, Landefeld CS, Mangione CM, Phipps MG, Silverstein M, Simon MA, Tseng CW. JAMA. 2018 Feb 13; 319(6): 588-594.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104" w:name="sub_40053"/>
            <w:r>
              <w:t>53.</w:t>
            </w:r>
            <w:bookmarkEnd w:id="104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Screening for Ovarian Cancer. Jin J. JAMA. 2018 Feb 13; 319(6): 624. doi: 10.10</w:t>
            </w:r>
            <w:r>
              <w:t>01/jama.2017.22136.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center"/>
            </w:pPr>
            <w:bookmarkStart w:id="105" w:name="sub_40054"/>
            <w:r>
              <w:t>54.</w:t>
            </w:r>
            <w:bookmarkEnd w:id="105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hyperlink r:id="rId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10 мая 2017 N 203н "Об утверждении критериев оценки качества медицинской помощи" (зарегистрировано в Минюсте России 17 мая 2017 г. N 46740)</w:t>
            </w:r>
          </w:p>
        </w:tc>
      </w:tr>
    </w:tbl>
    <w:p w:rsidR="00000000" w:rsidRDefault="00EA582C"/>
    <w:p w:rsidR="00000000" w:rsidRDefault="00EA582C">
      <w:r>
        <w:t>СОГЛАСОВАНО:</w:t>
      </w:r>
    </w:p>
    <w:p w:rsidR="00000000" w:rsidRDefault="00EA58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8"/>
            </w:pPr>
            <w:r>
              <w:t>Главный внештатный специалист</w:t>
            </w:r>
            <w:r>
              <w:br/>
              <w:t>Минздрава России по акушерству</w:t>
            </w:r>
            <w:r>
              <w:br/>
              <w:t>и гинекологии</w:t>
            </w:r>
            <w:r>
              <w:br/>
              <w:t>академик РАН, профессор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582C">
            <w:pPr>
              <w:pStyle w:val="a7"/>
              <w:jc w:val="right"/>
            </w:pPr>
            <w:r>
              <w:t>Л.В. Адамян</w:t>
            </w:r>
          </w:p>
        </w:tc>
      </w:tr>
    </w:tbl>
    <w:p w:rsidR="00000000" w:rsidRDefault="00EA582C"/>
    <w:p w:rsidR="00000000" w:rsidRDefault="00EA582C">
      <w:r>
        <w:t>8 октября 2018 г.</w:t>
      </w:r>
    </w:p>
    <w:p w:rsidR="00EA582C" w:rsidRDefault="00EA582C"/>
    <w:sectPr w:rsidR="00EA582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BC"/>
    <w:rsid w:val="00C418BC"/>
    <w:rsid w:val="00E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91967.376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6.emf"/><Relationship Id="rId34" Type="http://schemas.openxmlformats.org/officeDocument/2006/relationships/theme" Target="theme/theme1.xml"/><Relationship Id="rId7" Type="http://schemas.openxmlformats.org/officeDocument/2006/relationships/hyperlink" Target="garantF1://12091967.76" TargetMode="External"/><Relationship Id="rId12" Type="http://schemas.openxmlformats.org/officeDocument/2006/relationships/hyperlink" Target="garantF1://12091967.374" TargetMode="External"/><Relationship Id="rId17" Type="http://schemas.openxmlformats.org/officeDocument/2006/relationships/image" Target="media/image2.emf"/><Relationship Id="rId25" Type="http://schemas.openxmlformats.org/officeDocument/2006/relationships/hyperlink" Target="garantF1://3000000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hyperlink" Target="garantF1://7025263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047432.0" TargetMode="External"/><Relationship Id="rId11" Type="http://schemas.openxmlformats.org/officeDocument/2006/relationships/hyperlink" Target="garantF1://12091967.373" TargetMode="External"/><Relationship Id="rId24" Type="http://schemas.openxmlformats.org/officeDocument/2006/relationships/image" Target="media/image9.emf"/><Relationship Id="rId32" Type="http://schemas.openxmlformats.org/officeDocument/2006/relationships/hyperlink" Target="garantF1://7157588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036974.2" TargetMode="External"/><Relationship Id="rId23" Type="http://schemas.openxmlformats.org/officeDocument/2006/relationships/image" Target="media/image8.emf"/><Relationship Id="rId28" Type="http://schemas.openxmlformats.org/officeDocument/2006/relationships/hyperlink" Target="garantF1://70252632.1000" TargetMode="External"/><Relationship Id="rId10" Type="http://schemas.openxmlformats.org/officeDocument/2006/relationships/hyperlink" Target="garantF1://72036974.3" TargetMode="External"/><Relationship Id="rId19" Type="http://schemas.openxmlformats.org/officeDocument/2006/relationships/image" Target="media/image4.emf"/><Relationship Id="rId31" Type="http://schemas.openxmlformats.org/officeDocument/2006/relationships/hyperlink" Target="garantF1://7148281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036974.34" TargetMode="External"/><Relationship Id="rId14" Type="http://schemas.openxmlformats.org/officeDocument/2006/relationships/hyperlink" Target="garantF1://12091967.3711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1.png"/><Relationship Id="rId30" Type="http://schemas.openxmlformats.org/officeDocument/2006/relationships/hyperlink" Target="garantF1://70783132.1000" TargetMode="External"/><Relationship Id="rId8" Type="http://schemas.openxmlformats.org/officeDocument/2006/relationships/hyperlink" Target="garantF1://573115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13426</Words>
  <Characters>76529</Characters>
  <Application>Microsoft Office Word</Application>
  <DocSecurity>0</DocSecurity>
  <Lines>637</Lines>
  <Paragraphs>179</Paragraphs>
  <ScaleCrop>false</ScaleCrop>
  <Company>НПП "Гарант-Сервис"</Company>
  <LinksUpToDate>false</LinksUpToDate>
  <CharactersWithSpaces>89776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2019-07-02T10:42:00Z</dcterms:created>
  <dcterms:modified xsi:type="dcterms:W3CDTF">2019-07-02T10:42:00Z</dcterms:modified>
</cp:coreProperties>
</file>